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22026_040907.xml.htm"/>
      <w:bookmarkStart w:id="1" w:name="ksform409022026_04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Feiner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308 DORLA COURT, SUITE 206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ZEPHYR COVE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89448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VirnetX Holding Corp</w:t>
              </w:r>
            </w:hyperlink>
            <w:r>
              <w:rPr/>
              <w:t xml:space="preserve"> [ </w:t>
            </w:r>
            <w:r>
              <w:rPr>
                <w:rFonts w:ascii="Times;serif" w:hAnsi="Times;serif"/>
                <w:color w:val="0000FF"/>
                <w:sz w:val="24"/>
                <w:shd w:fill="FFFFFF" w:val="clear"/>
              </w:rPr>
              <w:t>VHC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11.172</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11.001</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$11.00 to $11.615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price represents the weighted average sale price of the shares sold ranging from $10.63 to $11.545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Kendall Larsen, Attorney-in-fact for Gary Feiner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8933" TargetMode="External"/><Relationship Id="rId5" Type="http://schemas.openxmlformats.org/officeDocument/2006/relationships/hyperlink" Target="http://www.sec.gov/cgi-bin/browse-edgar?action=getcompany&amp;CIK=00010823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3864</Characters>
  <CharactersWithSpaces>4509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