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1.xml.htm"/>
      <w:bookmarkStart w:id="1" w:name="ksform41002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Angelo Michael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308 DORLA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ZEPHYR COVE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89448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VirnetX Holding Corp</w:t>
              </w:r>
            </w:hyperlink>
            <w:r>
              <w:rPr/>
              <w:t xml:space="preserve"> [ </w:t>
            </w:r>
            <w:r>
              <w:rPr>
                <w:rFonts w:ascii="Times;serif" w:hAnsi="Times;serif"/>
                <w:color w:val="0000FF"/>
                <w:sz w:val="24"/>
                <w:shd w:fill="FFFFFF" w:val="clear"/>
              </w:rPr>
              <w:t>VHC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10.255</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by the Reporting Person were effected pursuant to a Rule 10b5-1 trading plan adopted on May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$10.00 to $10.56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Kendall Larsen, Attorney-in-fact for Michael F. Angelo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4851" TargetMode="External"/><Relationship Id="rId5" Type="http://schemas.openxmlformats.org/officeDocument/2006/relationships/hyperlink" Target="http://www.sec.gov/cgi-bin/browse-edgar?action=getcompany&amp;CIK=00010823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3483</Characters>
  <CharactersWithSpaces>4066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