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17, 2026</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VirnetX Holding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77-0390628</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22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308 Dorla Court, Suite 206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Zephyr Cove, Nevada 89448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including zip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2013 Equity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Kendall Larsen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308 Dorla Court, Suite 206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Zephyr Cove, Nevada, 89448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(775) 548-1785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Katharine A. Martin,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4">
            <w:col w:w="1680" w:space="360"/>
            <w:col w:w="5680" w:space="720"/>
            <w:col w:w="1640" w:space="720"/>
            <w:col w:w="440"/>
          </w:cols>
          <w:pgMar w:left="320" w:top="225" w:right="339" w:bottom="1440" w:gutter="0" w:footer="0" w:header="0"/>
          <w:type w:val="continuous"/>
        </w:sectPr>
      </w:pPr>
    </w:p>
    <w:p>
      <w:pPr>
        <w:spacing w:after="0" w:line="207" w:lineRule="exact"/>
        <w:tabs>
          <w:tab w:leader="none" w:pos="2020" w:val="left"/>
          <w:tab w:leader="none" w:pos="8420" w:val="left"/>
          <w:tab w:leader="none" w:pos="107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1440" w:gutter="0" w:footer="0" w:header="0"/>
          <w:type w:val="continuous"/>
        </w:sectPr>
      </w:pPr>
    </w:p>
    <w:p>
      <w:pPr>
        <w:spacing w:after="0" w:line="96"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Item 1 and Item 2 of Part I of Form S-8 will be delivered to the participants in the plan covered by this Registration Statement as specified by Rule 428(b)(1)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“Commission”):</w:t>
      </w:r>
    </w:p>
    <w:p>
      <w:pPr>
        <w:spacing w:after="0" w:line="207" w:lineRule="exact"/>
        <w:rPr>
          <w:sz w:val="20"/>
          <w:szCs w:val="20"/>
          <w:color w:val="auto"/>
        </w:rPr>
      </w:pPr>
    </w:p>
    <w:p>
      <w:pPr>
        <w:ind w:left="640" w:right="560" w:hanging="308"/>
        <w:spacing w:after="0" w:line="261"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24, 2026, pursuant to Section 13 of the Securities Exchange Act of 1934, as amended (the “Exchange Act”);</w:t>
      </w:r>
    </w:p>
    <w:p>
      <w:pPr>
        <w:ind w:left="640" w:right="360" w:hanging="308"/>
        <w:spacing w:after="0" w:line="250"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Commission on May 15, 2026, pursuant to Section 13 of the Exchange Act;</w:t>
      </w:r>
    </w:p>
    <w:p>
      <w:pPr>
        <w:ind w:left="640" w:right="200" w:hanging="308"/>
        <w:spacing w:after="0" w:line="250"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Registrant’s Annual Report on Form 10-K referred to in (a) above (other than the portions of these documents deemed to have been furnished and not filed in accordance with the rules of the Commission); and</w:t>
      </w:r>
    </w:p>
    <w:p>
      <w:pPr>
        <w:spacing w:after="0" w:line="1" w:lineRule="exact"/>
        <w:rPr>
          <w:rFonts w:ascii="Times New Roman" w:cs="Times New Roman" w:eastAsia="Times New Roman" w:hAnsi="Times New Roman"/>
          <w:sz w:val="18"/>
          <w:szCs w:val="18"/>
          <w:color w:val="auto"/>
        </w:rPr>
      </w:pPr>
    </w:p>
    <w:p>
      <w:pPr>
        <w:ind w:left="640" w:right="60" w:hanging="308"/>
        <w:spacing w:after="0" w:line="255"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capital stock contained in </w:t>
      </w:r>
      <w:hyperlink r:id="rId2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December 31, 2025, filed with the Commission on March 24, 2026, including any amendments or reports filed for the purpose of updating such 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filing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a part hereof from the date of filing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As permitted by Section 102(b)(7) of the Delaware General Corporation Law, the Registrant’s amended and restated certificate of incorporation includes provisions that eliminate the personal liability of its directors for monetary damages for breach of their fiduciary duty as directors.</w:t>
      </w:r>
    </w:p>
    <w:p>
      <w:pPr>
        <w:spacing w:after="0" w:line="162"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the amended and restated certificate of incorporation and amended and restated bylaws of the Registrant provide that:</w:t>
      </w:r>
    </w:p>
    <w:p>
      <w:pPr>
        <w:spacing w:after="0" w:line="162" w:lineRule="exact"/>
        <w:rPr>
          <w:sz w:val="20"/>
          <w:szCs w:val="20"/>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 its discretion, indemnify employees and agents in those circumstances where indemnification is permitted by applicable law.</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81"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The Registrant has entered into separate indemnification agreements with each of its directors and officers that provide the maximum indemnity allowed to directors and executive officers by Section 145 of the Delaware General Corporation Law and also to provide for certain additional procedural protections. The Registrant also maintains directors and officers insurance to insure such persons against certain liabilities.</w:t>
      </w:r>
    </w:p>
    <w:p>
      <w:pPr>
        <w:spacing w:after="0" w:line="176"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4"/>
        </w:trPr>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4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6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8"/>
        </w:trPr>
        <w:tc>
          <w:tcPr>
            <w:tcW w:w="1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333-</w:t>
            </w:r>
          </w:p>
        </w:tc>
        <w:tc>
          <w:tcPr>
            <w:tcW w:w="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4"/>
        </w:trPr>
        <w:tc>
          <w:tcPr>
            <w:tcW w:w="124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2680" w:type="dxa"/>
            <w:vAlign w:val="bottom"/>
            <w:tcBorders>
              <w:bottom w:val="single" w:sz="8" w:color="0000EE"/>
            </w:tcBorders>
            <w:gridSpan w:val="9"/>
            <w:shd w:val="clear" w:color="auto" w:fill="CCEEFF"/>
          </w:tcPr>
          <w:p>
            <w:pPr>
              <w:spacing w:after="0" w:line="194"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Specimen Common Stock Certificate</w:t>
              </w:r>
            </w:hyperlink>
          </w:p>
        </w:tc>
        <w:tc>
          <w:tcPr>
            <w:tcW w:w="1440" w:type="dxa"/>
            <w:vAlign w:val="bottom"/>
            <w:tcBorders>
              <w:bottom w:val="single" w:sz="8" w:color="CCEEFF"/>
            </w:tcBorders>
            <w:gridSpan w:val="8"/>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S-3</w:t>
            </w:r>
          </w:p>
        </w:tc>
        <w:tc>
          <w:tcPr>
            <w:tcW w:w="84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226413</w:t>
            </w:r>
          </w:p>
        </w:tc>
        <w:tc>
          <w:tcPr>
            <w:tcW w:w="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07/30/2018</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76"/>
        </w:trPr>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4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Opinion of Wilson Sonsini Goodrich &amp; Rosati,</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1240" w:type="dxa"/>
            <w:vAlign w:val="bottom"/>
          </w:tcPr>
          <w:p>
            <w:pPr>
              <w:spacing w:after="0"/>
              <w:rPr>
                <w:sz w:val="17"/>
                <w:szCs w:val="17"/>
                <w:color w:val="auto"/>
              </w:rPr>
            </w:pPr>
          </w:p>
        </w:tc>
        <w:tc>
          <w:tcPr>
            <w:tcW w:w="33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Professional Corporation</w:t>
            </w:r>
          </w:p>
        </w:tc>
        <w:tc>
          <w:tcPr>
            <w:tcW w:w="7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12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5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Farber Hass Hurley LLP, Independent</w:t>
            </w:r>
          </w:p>
        </w:tc>
        <w:tc>
          <w:tcPr>
            <w:tcW w:w="560" w:type="dxa"/>
            <w:vAlign w:val="bottom"/>
            <w:tcBorders>
              <w:bottom w:val="single" w:sz="8" w:color="CCEEFF"/>
            </w:tcBorders>
            <w:gridSpan w:val="5"/>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1240" w:type="dxa"/>
            <w:vAlign w:val="bottom"/>
            <w:shd w:val="clear" w:color="auto" w:fill="CCEEFF"/>
          </w:tcPr>
          <w:p>
            <w:pPr>
              <w:spacing w:after="0"/>
              <w:rPr>
                <w:sz w:val="17"/>
                <w:szCs w:val="17"/>
                <w:color w:val="auto"/>
              </w:rPr>
            </w:pPr>
          </w:p>
        </w:tc>
        <w:tc>
          <w:tcPr>
            <w:tcW w:w="412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Auditors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4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Wilson Sonsini Goodrich &amp; Rosati,</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Professional Corporation (included in Exhibit 5.1)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38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w:t>
            </w:r>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1240" w:type="dxa"/>
            <w:vAlign w:val="bottom"/>
            <w:shd w:val="clear" w:color="auto" w:fill="CCEEFF"/>
          </w:tcPr>
          <w:p>
            <w:pPr>
              <w:spacing w:after="0"/>
              <w:rPr>
                <w:sz w:val="17"/>
                <w:szCs w:val="17"/>
                <w:color w:val="auto"/>
              </w:rPr>
            </w:pPr>
          </w:p>
        </w:tc>
        <w:tc>
          <w:tcPr>
            <w:tcW w:w="412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this Registration Statement)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99.1*</w:t>
            </w:r>
          </w:p>
        </w:tc>
        <w:tc>
          <w:tcPr>
            <w:tcW w:w="39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2013 Equity Incentive Plan, as</w:t>
              </w:r>
            </w:hyperlink>
          </w:p>
        </w:tc>
        <w:tc>
          <w:tcPr>
            <w:tcW w:w="2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124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w:t>
              </w:r>
            </w:hyperlink>
          </w:p>
        </w:tc>
        <w:tc>
          <w:tcPr>
            <w:tcW w:w="74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001-33852</w:t>
            </w:r>
          </w:p>
        </w:tc>
        <w:tc>
          <w:tcPr>
            <w:tcW w:w="80" w:type="dxa"/>
            <w:vAlign w:val="bottom"/>
          </w:tcPr>
          <w:p>
            <w:pPr>
              <w:spacing w:after="0"/>
              <w:rPr>
                <w:sz w:val="17"/>
                <w:szCs w:val="17"/>
                <w:color w:val="auto"/>
              </w:rPr>
            </w:pPr>
          </w:p>
        </w:tc>
        <w:tc>
          <w:tcPr>
            <w:tcW w:w="1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06/16/2026</w:t>
            </w:r>
          </w:p>
        </w:tc>
        <w:tc>
          <w:tcPr>
            <w:tcW w:w="8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
        </w:trPr>
        <w:tc>
          <w:tcPr>
            <w:tcW w:w="12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99.2*</w:t>
            </w:r>
          </w:p>
        </w:tc>
        <w:tc>
          <w:tcPr>
            <w:tcW w:w="4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Stock Option Agreement – 2013 Equity</w:t>
              </w:r>
            </w:hyperlink>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Incentive Plan</w:t>
              </w:r>
            </w:hyperlink>
          </w:p>
        </w:tc>
        <w:tc>
          <w:tcPr>
            <w:tcW w:w="244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001-33852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9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03/02/2015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99.3*</w:t>
            </w:r>
          </w:p>
        </w:tc>
        <w:tc>
          <w:tcPr>
            <w:tcW w:w="356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Restricted Stock Unit Agreement – 2013</w:t>
              </w:r>
            </w:hyperlink>
          </w:p>
        </w:tc>
        <w:tc>
          <w:tcPr>
            <w:tcW w:w="5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1240" w:type="dxa"/>
            <w:vAlign w:val="bottom"/>
          </w:tcPr>
          <w:p>
            <w:pPr>
              <w:spacing w:after="0"/>
              <w:rPr>
                <w:sz w:val="17"/>
                <w:szCs w:val="17"/>
                <w:color w:val="auto"/>
              </w:rPr>
            </w:pPr>
          </w:p>
        </w:tc>
        <w:tc>
          <w:tcPr>
            <w:tcW w:w="4120" w:type="dxa"/>
            <w:vAlign w:val="bottom"/>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Equity Incentive Plan</w:t>
              </w:r>
            </w:hyperlink>
          </w:p>
        </w:tc>
        <w:tc>
          <w:tcPr>
            <w:tcW w:w="7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001-33852</w:t>
            </w:r>
          </w:p>
        </w:tc>
        <w:tc>
          <w:tcPr>
            <w:tcW w:w="80" w:type="dxa"/>
            <w:vAlign w:val="bottom"/>
          </w:tcPr>
          <w:p>
            <w:pPr>
              <w:spacing w:after="0"/>
              <w:rPr>
                <w:sz w:val="17"/>
                <w:szCs w:val="17"/>
                <w:color w:val="auto"/>
              </w:rPr>
            </w:pPr>
          </w:p>
        </w:tc>
        <w:tc>
          <w:tcPr>
            <w:tcW w:w="1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03/02/2015</w:t>
            </w:r>
          </w:p>
        </w:tc>
        <w:tc>
          <w:tcPr>
            <w:tcW w:w="8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
        </w:trPr>
        <w:tc>
          <w:tcPr>
            <w:tcW w:w="12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99.4*</w:t>
            </w:r>
          </w:p>
        </w:tc>
        <w:tc>
          <w:tcPr>
            <w:tcW w:w="38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Restricted Stock Agreement – Amended and</w:t>
              </w:r>
            </w:hyperlink>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17"/>
        </w:trPr>
        <w:tc>
          <w:tcPr>
            <w:tcW w:w="1240" w:type="dxa"/>
            <w:vAlign w:val="bottom"/>
            <w:shd w:val="clear" w:color="auto" w:fill="CCEEFF"/>
          </w:tcPr>
          <w:p>
            <w:pPr>
              <w:spacing w:after="0"/>
              <w:rPr>
                <w:sz w:val="18"/>
                <w:szCs w:val="18"/>
                <w:color w:val="auto"/>
              </w:rPr>
            </w:pPr>
          </w:p>
        </w:tc>
        <w:tc>
          <w:tcPr>
            <w:tcW w:w="41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Restated 2013 Equity Incentive Plan</w:t>
              </w:r>
            </w:hyperlink>
          </w:p>
        </w:tc>
        <w:tc>
          <w:tcPr>
            <w:tcW w:w="740" w:type="dxa"/>
            <w:vAlign w:val="bottom"/>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001-33852</w:t>
            </w:r>
          </w:p>
        </w:tc>
        <w:tc>
          <w:tcPr>
            <w:tcW w:w="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08/11/2023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12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1440" w:type="dxa"/>
            <w:vAlign w:val="bottom"/>
            <w:tcBorders>
              <w:top w:val="single" w:sz="8" w:color="0000EE"/>
            </w:tcBorders>
            <w:gridSpan w:val="4"/>
          </w:tcPr>
          <w:p>
            <w:pPr>
              <w:spacing w:after="0"/>
              <w:rPr>
                <w:sz w:val="15"/>
                <w:szCs w:val="15"/>
                <w:color w:val="auto"/>
              </w:rPr>
            </w:pPr>
          </w:p>
        </w:tc>
        <w:tc>
          <w:tcPr>
            <w:tcW w:w="1500" w:type="dxa"/>
            <w:vAlign w:val="bottom"/>
            <w:tcBorders>
              <w:top w:val="single" w:sz="8" w:color="CCEEFF"/>
            </w:tcBorders>
            <w:gridSpan w:val="9"/>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r>
    </w:tbl>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contact or arrangement.</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Zephyr Cove, State of Nevada, on June 17, 2026.</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VIRNETX HOLDING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Kendall Larsen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Kendall Larsen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Katherine Allanson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Katherine Allanson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jc w:val="both"/>
        <w:ind w:firstLine="2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Kendall Larsen,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his or her attorney-in-fact and agent, with the power of substitution and resubstitution, for each of them and in their name, place or stead, in any and all capacities, to sign any amendments to this Registration Statement on Form S-8, and to file such amendments, together with exhibits and other documents in connection therewith, with the Securities and Exchange Commission, granting to each attorney-in-fact and agent, full power and authority to do and perform each and every act and thing requisite and necessary to be done in and about the premises, as fully as he or she might or could do in person, and ratifying and confirming all that the attorney-in-fact and agent, or his or her substitute or substitutes, may do or cause to be done by virtue hereof.</w:t>
      </w:r>
    </w:p>
    <w:p>
      <w:pPr>
        <w:spacing w:after="0" w:line="18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66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2"/>
        </w:trPr>
        <w:tc>
          <w:tcPr>
            <w:tcW w:w="2820" w:type="dxa"/>
            <w:vAlign w:val="bottom"/>
          </w:tcPr>
          <w:p>
            <w:pPr>
              <w:spacing w:after="0"/>
              <w:rPr>
                <w:sz w:val="24"/>
                <w:szCs w:val="24"/>
                <w:color w:val="auto"/>
              </w:rPr>
            </w:pP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Chief Executive Officer, President and Chairperson of the Board</w:t>
            </w:r>
          </w:p>
        </w:tc>
        <w:tc>
          <w:tcPr>
            <w:tcW w:w="1300" w:type="dxa"/>
            <w:vAlign w:val="bottom"/>
          </w:tcPr>
          <w:p>
            <w:pPr>
              <w:spacing w:after="0"/>
              <w:rPr>
                <w:sz w:val="24"/>
                <w:szCs w:val="24"/>
                <w:color w:val="auto"/>
              </w:rPr>
            </w:pPr>
          </w:p>
        </w:tc>
      </w:tr>
      <w:tr>
        <w:trPr>
          <w:trHeight w:val="25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Kendall Larsen</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Kendall Larsen</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3"/>
        </w:trPr>
        <w:tc>
          <w:tcPr>
            <w:tcW w:w="2820" w:type="dxa"/>
            <w:vAlign w:val="bottom"/>
          </w:tcPr>
          <w:p>
            <w:pPr>
              <w:spacing w:after="0"/>
              <w:rPr>
                <w:sz w:val="24"/>
                <w:szCs w:val="24"/>
                <w:color w:val="auto"/>
              </w:rPr>
            </w:pP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24"/>
                <w:szCs w:val="24"/>
                <w:color w:val="auto"/>
              </w:rPr>
            </w:pPr>
          </w:p>
        </w:tc>
      </w:tr>
      <w:tr>
        <w:trPr>
          <w:trHeight w:val="25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Allanson</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Katherine Allanson</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W. Feiner</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Gary W. Feiner</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 Angelo</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F. Angelo</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Heidy Chow</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Heidy Chow</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 O’Brien</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Thomas M. O’Brien</w:t>
            </w:r>
          </w:p>
        </w:tc>
        <w:tc>
          <w:tcPr>
            <w:tcW w:w="2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15"/>
        </w:trPr>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color w:val="215868"/>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-86995</wp:posOffset>
            </wp:positionV>
            <wp:extent cx="10369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36955" cy="394335"/>
                    </a:xfrm>
                    <a:prstGeom prst="rect">
                      <a:avLst/>
                    </a:prstGeom>
                    <a:noFill/>
                  </pic:spPr>
                </pic:pic>
              </a:graphicData>
            </a:graphic>
          </wp:anchor>
        </w:drawing>
      </w:r>
    </w:p>
    <w:p>
      <w:pPr>
        <w:ind w:left="9000"/>
        <w:spacing w:after="0" w:line="226" w:lineRule="auto"/>
        <w:rPr>
          <w:sz w:val="20"/>
          <w:szCs w:val="20"/>
          <w:color w:val="auto"/>
        </w:rPr>
      </w:pPr>
      <w:r>
        <w:rPr>
          <w:rFonts w:ascii="Times New Roman" w:cs="Times New Roman" w:eastAsia="Times New Roman" w:hAnsi="Times New Roman"/>
          <w:sz w:val="14"/>
          <w:szCs w:val="14"/>
          <w:color w:val="215868"/>
        </w:rPr>
        <w:t>Professional Corporation</w:t>
      </w:r>
    </w:p>
    <w:p>
      <w:pPr>
        <w:ind w:left="9000"/>
        <w:spacing w:after="0" w:line="222" w:lineRule="auto"/>
        <w:rPr>
          <w:sz w:val="20"/>
          <w:szCs w:val="20"/>
          <w:color w:val="auto"/>
        </w:rPr>
      </w:pPr>
      <w:r>
        <w:rPr>
          <w:rFonts w:ascii="Times New Roman" w:cs="Times New Roman" w:eastAsia="Times New Roman" w:hAnsi="Times New Roman"/>
          <w:sz w:val="14"/>
          <w:szCs w:val="14"/>
          <w:color w:val="215868"/>
        </w:rPr>
        <w:t>650 Page Mill Road</w:t>
      </w:r>
    </w:p>
    <w:p>
      <w:pPr>
        <w:ind w:left="9000"/>
        <w:spacing w:after="0" w:line="221" w:lineRule="auto"/>
        <w:rPr>
          <w:sz w:val="20"/>
          <w:szCs w:val="20"/>
          <w:color w:val="auto"/>
        </w:rPr>
      </w:pPr>
      <w:r>
        <w:rPr>
          <w:rFonts w:ascii="Times New Roman" w:cs="Times New Roman" w:eastAsia="Times New Roman" w:hAnsi="Times New Roman"/>
          <w:sz w:val="14"/>
          <w:szCs w:val="14"/>
          <w:color w:val="215868"/>
        </w:rPr>
        <w:t>Palo Alto, California 94304-1050</w:t>
      </w:r>
    </w:p>
    <w:p>
      <w:pPr>
        <w:ind w:left="9000"/>
        <w:spacing w:after="0" w:line="221" w:lineRule="auto"/>
        <w:rPr>
          <w:sz w:val="20"/>
          <w:szCs w:val="20"/>
          <w:color w:val="auto"/>
        </w:rPr>
      </w:pPr>
      <w:r>
        <w:rPr>
          <w:rFonts w:ascii="Times New Roman" w:cs="Times New Roman" w:eastAsia="Times New Roman" w:hAnsi="Times New Roman"/>
          <w:sz w:val="14"/>
          <w:szCs w:val="14"/>
          <w:color w:val="215868"/>
        </w:rPr>
        <w:t>o: 650.493.9300</w:t>
      </w:r>
    </w:p>
    <w:p>
      <w:pPr>
        <w:spacing w:after="0" w:line="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color w:val="215868"/>
        </w:rPr>
        <w:t>f: 650.493.6811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VirnetX Holding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 Dorla Court, Suite 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Zephyr Cove, Nevada 89448</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VirnetX Holding Corporation, a Delaware corporation, with the Securities and Exchange Commission on or about the date hereof, in connection with the registration under the Securities Act of 1933, as amended, of 1,000,000 shares of common stock, par value $0.0001 per share (the “Shares”), reserved for issuance under the Amended and Restated 2013 Equity Incentive Plan, as amended from time to time (the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it appears in the Registration Statement and any amendments thereto.</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VirnetX Holding Corporation Amended and Restated 2013 Equity Incentive Plan of our report dated March 24, 2026, with respect to the consolidated financial statements of VirnetX Holding Corporation, included in its Annual Report (Form 10-K) for the year ended December 31, 2025, filed with the Securities and Exchange Commission.</w:t>
      </w:r>
    </w:p>
    <w:p>
      <w:pPr>
        <w:spacing w:after="0" w:line="1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Farber Hass Hurley LLP</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Farber Hass Hurley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Chatsworth,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left="10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280" w:type="dxa"/>
            <w:vAlign w:val="bottom"/>
            <w:tcBorders>
              <w:left w:val="single" w:sz="8" w:color="auto"/>
              <w:righ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 to be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40" w:type="dxa"/>
            <w:vAlign w:val="bottom"/>
            <w:tcBorders>
              <w:bottom w:val="single" w:sz="8" w:color="auto"/>
              <w:right w:val="single" w:sz="8" w:color="auto"/>
            </w:tcBorders>
          </w:tcPr>
          <w:p>
            <w:pPr>
              <w:jc w:val="right"/>
              <w:ind w:right="50"/>
              <w:spacing w:after="0" w:line="270" w:lineRule="exact"/>
              <w:rPr>
                <w:sz w:val="20"/>
                <w:szCs w:val="20"/>
                <w:color w:val="auto"/>
              </w:rPr>
            </w:pP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29"/>
                <w:szCs w:val="29"/>
                <w:b w:val="1"/>
                <w:bCs w:val="1"/>
                <w:color w:val="auto"/>
                <w:vertAlign w:val="superscript"/>
              </w:rPr>
              <w:t>(1)</w:t>
            </w:r>
          </w:p>
        </w:tc>
        <w:tc>
          <w:tcPr>
            <w:tcW w:w="12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9"/>
                <w:szCs w:val="29"/>
                <w:b w:val="1"/>
                <w:bCs w:val="1"/>
                <w:color w:val="auto"/>
                <w:w w:val="91"/>
                <w:vertAlign w:val="superscript"/>
              </w:rPr>
              <w:t>(2)</w:t>
            </w:r>
          </w:p>
        </w:tc>
        <w:tc>
          <w:tcPr>
            <w:tcW w:w="122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 share reserved for issuance</w:t>
            </w: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pursuant to the Amended and</w:t>
            </w: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Restated 2013 Equity Incentive</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tcBorders>
              <w:right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9"/>
                <w:szCs w:val="29"/>
                <w:color w:val="auto"/>
                <w:vertAlign w:val="superscript"/>
              </w:rPr>
              <w:t>(3)</w:t>
            </w: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457(h)</w:t>
            </w:r>
          </w:p>
        </w:tc>
        <w:tc>
          <w:tcPr>
            <w:tcW w:w="124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$13.12</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$13,120,000.00</w:t>
            </w:r>
          </w:p>
        </w:tc>
        <w:tc>
          <w:tcPr>
            <w:tcW w:w="12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0.00013810</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$1,811.88</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24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$13,120,000.00</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$1,811.88</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280" w:type="dxa"/>
            <w:vAlign w:val="bottom"/>
            <w:tcBorders>
              <w:left w:val="single" w:sz="8" w:color="auto"/>
              <w:bottom w:val="single" w:sz="8" w:color="auto"/>
              <w:right w:val="single" w:sz="8" w:color="CCEEFF"/>
            </w:tcBorders>
            <w:shd w:val="clear" w:color="auto" w:fill="CCEEFF"/>
          </w:tcPr>
          <w:p>
            <w:pPr>
              <w:spacing w:after="0"/>
              <w:rPr>
                <w:sz w:val="24"/>
                <w:szCs w:val="24"/>
                <w:color w:val="auto"/>
              </w:rPr>
            </w:pPr>
          </w:p>
        </w:tc>
        <w:tc>
          <w:tcPr>
            <w:tcW w:w="2580" w:type="dxa"/>
            <w:vAlign w:val="bottom"/>
            <w:tcBorders>
              <w:bottom w:val="single" w:sz="8" w:color="auto"/>
              <w:right w:val="single" w:sz="8" w:color="CCEEFF"/>
            </w:tcBorders>
            <w:shd w:val="clear" w:color="auto" w:fill="CCEEFF"/>
          </w:tcPr>
          <w:p>
            <w:pPr>
              <w:spacing w:after="0"/>
              <w:rPr>
                <w:sz w:val="24"/>
                <w:szCs w:val="24"/>
                <w:color w:val="auto"/>
              </w:rPr>
            </w:pPr>
          </w:p>
        </w:tc>
        <w:tc>
          <w:tcPr>
            <w:tcW w:w="2480" w:type="dxa"/>
            <w:vAlign w:val="bottom"/>
            <w:tcBorders>
              <w:bottom w:val="single" w:sz="8" w:color="auto"/>
              <w:right w:val="single" w:sz="8" w:color="auto"/>
            </w:tcBorders>
            <w:gridSpan w:val="2"/>
            <w:shd w:val="clear" w:color="auto" w:fill="CCEEFF"/>
          </w:tcPr>
          <w:p>
            <w:pPr>
              <w:jc w:val="right"/>
              <w:ind w:right="30"/>
              <w:spacing w:after="0" w:line="303" w:lineRule="exact"/>
              <w:rPr>
                <w:sz w:val="20"/>
                <w:szCs w:val="20"/>
                <w:color w:val="auto"/>
              </w:rPr>
            </w:pPr>
            <w:r>
              <w:rPr>
                <w:rFonts w:ascii="Times New Roman" w:cs="Times New Roman" w:eastAsia="Times New Roman" w:hAnsi="Times New Roman"/>
                <w:sz w:val="18"/>
                <w:szCs w:val="18"/>
                <w:b w:val="1"/>
                <w:bCs w:val="1"/>
                <w:color w:val="auto"/>
              </w:rPr>
              <w:t>Total Fee Offsets</w:t>
            </w:r>
            <w:r>
              <w:rPr>
                <w:rFonts w:ascii="Times New Roman" w:cs="Times New Roman" w:eastAsia="Times New Roman" w:hAnsi="Times New Roman"/>
                <w:sz w:val="29"/>
                <w:szCs w:val="29"/>
                <w:b w:val="1"/>
                <w:bCs w:val="1"/>
                <w:color w:val="auto"/>
                <w:vertAlign w:val="superscript"/>
              </w:rPr>
              <w:t>(4)</w:t>
            </w:r>
          </w:p>
        </w:tc>
        <w:tc>
          <w:tcPr>
            <w:tcW w:w="1240" w:type="dxa"/>
            <w:vAlign w:val="bottom"/>
            <w:tcBorders>
              <w:bottom w:val="single" w:sz="8" w:color="auto"/>
              <w:right w:val="single" w:sz="8" w:color="auto"/>
            </w:tcBorders>
            <w:shd w:val="clear" w:color="auto" w:fill="CCEEFF"/>
          </w:tcPr>
          <w:p>
            <w:pPr>
              <w:spacing w:after="0"/>
              <w:rPr>
                <w:sz w:val="24"/>
                <w:szCs w:val="24"/>
                <w:color w:val="auto"/>
              </w:rPr>
            </w:pPr>
          </w:p>
        </w:tc>
        <w:tc>
          <w:tcPr>
            <w:tcW w:w="1220" w:type="dxa"/>
            <w:vAlign w:val="bottom"/>
            <w:tcBorders>
              <w:bottom w:val="single" w:sz="8" w:color="auto"/>
              <w:right w:val="single" w:sz="8" w:color="auto"/>
            </w:tcBorders>
            <w:shd w:val="clear" w:color="auto" w:fill="CCEEFF"/>
          </w:tcPr>
          <w:p>
            <w:pPr>
              <w:spacing w:after="0"/>
              <w:rPr>
                <w:sz w:val="24"/>
                <w:szCs w:val="24"/>
                <w:color w:val="auto"/>
              </w:rPr>
            </w:pPr>
          </w:p>
        </w:tc>
        <w:tc>
          <w:tcPr>
            <w:tcW w:w="1240" w:type="dxa"/>
            <w:vAlign w:val="bottom"/>
            <w:tcBorders>
              <w:bottom w:val="single" w:sz="8" w:color="auto"/>
              <w:right w:val="single" w:sz="8" w:color="auto"/>
            </w:tcBorders>
            <w:shd w:val="clear" w:color="auto" w:fill="CCEEFF"/>
          </w:tcPr>
          <w:p>
            <w:pPr>
              <w:spacing w:after="0"/>
              <w:rPr>
                <w:sz w:val="24"/>
                <w:szCs w:val="24"/>
                <w:color w:val="auto"/>
              </w:rPr>
            </w:pP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$1,811.88</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20" w:right="300" w:hanging="312"/>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shall also cover any additional shares which become issuable under the Amended and Restated 2013 Equity Incentive Plan by reason of any stock dividend, stock split, capitalization of reserves and premiums or other similar transaction effected without the receipt of consideration which results in an increase in the number of the outstanding shares of the Registrant.</w:t>
      </w:r>
    </w:p>
    <w:p>
      <w:pPr>
        <w:spacing w:after="0" w:line="54" w:lineRule="exact"/>
        <w:rPr>
          <w:rFonts w:ascii="Times New Roman" w:cs="Times New Roman" w:eastAsia="Times New Roman" w:hAnsi="Times New Roman"/>
          <w:sz w:val="18"/>
          <w:szCs w:val="18"/>
          <w:color w:val="auto"/>
        </w:rPr>
      </w:pPr>
    </w:p>
    <w:p>
      <w:pPr>
        <w:ind w:left="320" w:right="340" w:hanging="312"/>
        <w:spacing w:after="0" w:line="28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the purposes of this offering under Rule 457(c) and Rule 457(h) of the Securities Act of 1933, as amended, on the basis of the average of the high and low prices of the Registrant’s shares as reported on NASDAQ Capital Stock Market on June 10, 2026.</w:t>
      </w:r>
    </w:p>
    <w:p>
      <w:pPr>
        <w:spacing w:after="0" w:line="40" w:lineRule="exact"/>
        <w:rPr>
          <w:rFonts w:ascii="Times New Roman" w:cs="Times New Roman" w:eastAsia="Times New Roman" w:hAnsi="Times New Roman"/>
          <w:sz w:val="18"/>
          <w:szCs w:val="18"/>
          <w:color w:val="auto"/>
        </w:rPr>
      </w:pPr>
    </w:p>
    <w:p>
      <w:pPr>
        <w:ind w:left="320" w:right="380" w:hanging="312"/>
        <w:spacing w:after="0" w:line="28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the number of shares of the Registrant’s common stock reserved for issuance under the Amended and Restated 2013 Equity Incentive Plan, as approved by the Registrant’s stockholders at the Registrant’s annual meeting held on June 11, 2026.</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e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20" Type="http://schemas.openxmlformats.org/officeDocument/2006/relationships/hyperlink" Target="https://www.sec.gov/Archives/edgar/data/1082324/000114036126010895/ef20060835_10k.htm" TargetMode="External"/><Relationship Id="rId21" Type="http://schemas.openxmlformats.org/officeDocument/2006/relationships/hyperlink" Target="https://www.sec.gov/Archives/edgar/data/1082324/000114036126021650/ef20070604_10q.htm" TargetMode="External"/><Relationship Id="rId22" Type="http://schemas.openxmlformats.org/officeDocument/2006/relationships/hyperlink" Target="https://www.sec.gov/Archives/edgar/data/1082324/000114036126010895/ef20060835_ex4-4.htm" TargetMode="External"/><Relationship Id="rId25" Type="http://schemas.openxmlformats.org/officeDocument/2006/relationships/hyperlink" Target="https://www.sec.gov/Archives/edgar/data/1082324/000114036118033981/ex4_1.htm" TargetMode="External"/><Relationship Id="rId26" Type="http://schemas.openxmlformats.org/officeDocument/2006/relationships/hyperlink" Target="https://www.sec.gov/Archives/edgar/data/1082324/000114036126025419/ef20076289_ex10-1.htm" TargetMode="External"/><Relationship Id="rId27" Type="http://schemas.openxmlformats.org/officeDocument/2006/relationships/hyperlink" Target="https://www.sec.gov/Archives/edgar/data/1082324/000114036115009713/ex10_6.htm" TargetMode="External"/><Relationship Id="rId28" Type="http://schemas.openxmlformats.org/officeDocument/2006/relationships/hyperlink" Target="https://www.sec.gov/Archives/edgar/data/1082324/000114036115009713/ex10_7.htm" TargetMode="External"/><Relationship Id="rId29" Type="http://schemas.openxmlformats.org/officeDocument/2006/relationships/hyperlink" Target="https://www.sec.gov/Archives/edgar/data/1082324/000114036123039281/brhc2005679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2026-06-17T15:04:12Z</dcterms:created>
  <dcterms:modified xsi:type="dcterms:W3CDTF">2026-06-17T15:04:12Z</dcterms:modified>
</cp:coreProperties>
</file>