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2832x1_424b5_101-cov_pg1"/>
        <w:bookmarkStart w:id="1" w:name="ny20082832x1_424b5.htm"/>
        <w:bookmarkStart w:id="2" w:name="ksny20082832x1_424b5"/>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 xml:space="preserve">Filed Pursuant to Rule 424(b)(5) </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333-295960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PROSPECTUS SUPPLEMENT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(To Prospectus dated June 2, 2026)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Up to $19,135,717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285" w:after="283"/>
        <w:jc w:val="center"/>
        <w:rPr>
          <w:color w:val="000000"/>
        </w:rPr>
      </w:pPr>
      <w:r>
        <w:rPr>
          <w:color w:val="000000"/>
        </w:rPr>
        <w:drawing>
          <wp:inline distT="0" distB="0" distL="0" distR="0">
            <wp:extent cx="2085975"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85975" cy="2952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entered into a sales agreement, dated as of October 1, 2026 (the “Sales Agreement”) with Titan Partners Securities LLC (the “Agent”) relating to shares of our common stock, par value $0.0001 per share (“common stock”), offered by this prospectus supplement and the accompanying prospectus. In accordance with the terms of the Sales Agreement, we may offer and sell shares of our common stock having an aggregate offering price of up to $19,135,717 from time to time through the Agent, acting as our sales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aggregate market value of our outstanding shares of common stock held by non-affiliates was $57,407,153 based on 4,196,009 shares of common stock outstanding as of September 29, of which 3,585,706 shares are held by non-affiliates, and a per share price of $16.01 based on the closing sale price of our common stock on August 6, 2026. Pursuant to General Instruction I.B.6 of Form S-3, in no event will we sell securities in a public primary offering with a value exceeding more than one-third of our public float in any 12-month period so long as our public float remains below $75.0 million. During the 12-month period prior to and including the date of this prospectus supplement, we did not offer any securities pursuant to General Instruction I.B.6 of Form S-3.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Capital Market (Nasdaq) under the symbol “VHC.” On September 29, 2026, the last reported sale price of our common stock on Nasdaq was $10.32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Sales of shares of our common stock under this prospectus supplement and the accompanying prospectus, if any, may be made by any method deemed to be an “at the market offering” as defined in Rule 415 under the Securities Act of 1933, as amended (the “Securities Act”), including sales made directly on the Nasdaq Capital Market, on any other existing trading market for the common stock or to or through a market other than on an exchange. In addition, with our prior written approval, the Agent may also sell the common stock by any other method permitted by law, including in privately negotiated transactions or block transactions. </w:t>
      </w:r>
    </w:p>
    <w:p>
      <w:pPr>
        <w:pStyle w:val="TextBody"/>
        <w:bidi w:val="0"/>
        <w:spacing w:before="120" w:after="283"/>
        <w:ind w:left="0" w:right="0" w:firstLine="400"/>
        <w:jc w:val="left"/>
        <w:rPr/>
      </w:pPr>
      <w:r>
        <w:rPr>
          <w:rFonts w:ascii="Times New Roman;Times;serif" w:hAnsi="Times New Roman;Times;serif"/>
          <w:color w:val="000000"/>
          <w:sz w:val="20"/>
        </w:rPr>
        <w:t>The Agent is not required to sell any specific number or dollar amount of shares of our common stock. The Agent has agreed to use its commercially reasonable efforts consistent with its normal trading and sales practices, on mutually agreed terms between the Agent and us. There is no arrangement for funds to be received in any escrow, trust or similar arrangement. The Agent will be entitled to compensation under the terms of the Sales Agreement at a commission rate equal to 3% of the gross sales price of common stock that it sells pursuant to the Sales Agreement. The net proceeds from any sales under this prospectus supplement and the accompanying prospectus will be used as described under “Use of Proceeds.” The proceeds we receive from sales of our common stock, if any, will depend on the number of shares actually sold and the offering price of such shares. See “Plan of Distribution” beginning on page S-</w:t>
      </w:r>
      <w:hyperlink w:anchor="sPD">
        <w:r>
          <w:rPr>
            <w:rStyle w:val="InternetLink"/>
            <w:rFonts w:ascii="Times New Roman;Times;serif" w:hAnsi="Times New Roman;Times;serif"/>
            <w:color w:val="000080"/>
            <w:sz w:val="20"/>
          </w:rPr>
          <w:t>15</w:t>
        </w:r>
      </w:hyperlink>
      <w:r>
        <w:rPr>
          <w:rFonts w:ascii="Times New Roman;Times;serif" w:hAnsi="Times New Roman;Times;serif"/>
          <w:color w:val="000000"/>
          <w:sz w:val="20"/>
        </w:rPr>
        <w:t xml:space="preserve"> of this prospectus supplement for additional information regarding compensation to be paid to the Agent and estimated offering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sale of common stock on our behalf, the Agent may be deemed to be an “underwriter” within the meaning of the Securities Act, and its compensation as Agent may be deemed to be underwriting commissions or discounts. We have agreed to provide indemnification and contribution to the Agent with respect to certain liabilities, including liabilities under the Securities Act. </w:t>
      </w:r>
    </w:p>
    <w:p>
      <w:pPr>
        <w:pStyle w:val="TextBody"/>
        <w:bidi w:val="0"/>
        <w:spacing w:before="120" w:after="283"/>
        <w:ind w:left="0" w:right="0" w:firstLine="400"/>
        <w:jc w:val="left"/>
        <w:rPr/>
      </w:pPr>
      <w:r>
        <w:rPr>
          <w:rFonts w:ascii="Times New Roman;Times;serif" w:hAnsi="Times New Roman;Times;serif"/>
          <w:b/>
          <w:color w:val="000000"/>
          <w:sz w:val="20"/>
        </w:rPr>
        <w:t>Investing in our securities involves significant risks. Please read the information contained in or incorporated by reference under the heading “</w:t>
      </w:r>
      <w:r>
        <w:rPr>
          <w:rFonts w:ascii="Times New Roman;Times;serif" w:hAnsi="Times New Roman;Times;serif"/>
          <w:b/>
          <w:color w:val="000000"/>
          <w:sz w:val="20"/>
          <w:u w:val="single"/>
        </w:rPr>
        <w:t>Risk Factors</w:t>
      </w:r>
      <w:r>
        <w:rPr>
          <w:rFonts w:ascii="Times New Roman;Times;serif" w:hAnsi="Times New Roman;Times;serif"/>
          <w:b/>
          <w:color w:val="000000"/>
          <w:sz w:val="20"/>
        </w:rPr>
        <w:t>” beginning on page S-</w:t>
      </w:r>
      <w:hyperlink w:anchor="sRFS">
        <w:r>
          <w:rPr>
            <w:rStyle w:val="InternetLink"/>
          </w:rPr>
          <w:t>5</w:t>
        </w:r>
      </w:hyperlink>
      <w:r>
        <w:rPr>
          <w:rFonts w:ascii="Times New Roman;Times;serif" w:hAnsi="Times New Roman;Times;serif"/>
          <w:b/>
          <w:color w:val="000000"/>
          <w:sz w:val="20"/>
        </w:rPr>
        <w:t xml:space="preserve"> of this prospectus supplement, and under similar headings in other documents filed after the date hereof and incorporated by reference into this prospectus supplement and the accompanying prospectus.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Neither the Securities and Exchange Commission (the SEC)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Titan Partners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The date of this prospectus supplement is October 1, 2026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82832x1_424b5_102-toc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Prospectus Supplement </w:t>
      </w:r>
    </w:p>
    <w:p>
      <w:pPr>
        <w:pStyle w:val="Normal"/>
        <w:bidi w:val="0"/>
        <w:spacing w:before="0" w:after="0"/>
        <w:jc w:val="left"/>
        <w:rPr>
          <w:sz w:val="4"/>
          <w:szCs w:val="4"/>
        </w:rPr>
      </w:pPr>
      <w:r>
        <w:rPr>
          <w:sz w:val="4"/>
          <w:szCs w:val="4"/>
        </w:rPr>
      </w:r>
      <w:bookmarkStart w:id="4" w:name="TOC"/>
      <w:bookmarkStart w:id="5" w:name="TOC"/>
      <w:bookmarkEnd w:id="5"/>
    </w:p>
    <w:tbl>
      <w:tblPr>
        <w:tblW w:w="6530" w:type="dxa"/>
        <w:jc w:val="left"/>
        <w:tblInd w:w="0" w:type="dxa"/>
        <w:tblLayout w:type="fixed"/>
        <w:tblCellMar>
          <w:top w:w="0" w:type="dxa"/>
          <w:left w:w="0" w:type="dxa"/>
          <w:bottom w:w="0" w:type="dxa"/>
          <w:right w:w="0" w:type="dxa"/>
        </w:tblCellMar>
      </w:tblPr>
      <w:tblGrid>
        <w:gridCol w:w="5795"/>
        <w:gridCol w:w="140"/>
        <w:gridCol w:w="140"/>
        <w:gridCol w:w="455"/>
      </w:tblGrid>
      <w:tr>
        <w:trPr/>
        <w:tc>
          <w:tcPr>
            <w:tcW w:w="57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r>
        <w:trPr/>
        <w:tc>
          <w:tcPr>
            <w:tcW w:w="57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5795" w:type="dxa"/>
            <w:tcBorders/>
            <w:shd w:fill="CCEEFF" w:val="clear"/>
            <w:vAlign w:val="center"/>
          </w:tcPr>
          <w:p>
            <w:pPr>
              <w:pStyle w:val="TableContents"/>
              <w:bidi w:val="0"/>
              <w:spacing w:before="0" w:after="283"/>
              <w:ind w:left="0" w:right="0" w:hanging="0"/>
              <w:jc w:val="left"/>
              <w:rPr/>
            </w:pPr>
            <w:hyperlink w:anchor="sAPS">
              <w:r>
                <w:rPr>
                  <w:rStyle w:val="InternetLink"/>
                  <w:rFonts w:ascii="Times New Roman;Times;serif" w:hAnsi="Times New Roman;Times;serif"/>
                  <w:color w:val="000000"/>
                  <w:sz w:val="20"/>
                </w:rPr>
                <w:t>About this Prospectus Supplement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APS">
              <w:r>
                <w:rPr>
                  <w:rStyle w:val="InternetLink"/>
                  <w:rFonts w:ascii="Times New Roman;Times;serif" w:hAnsi="Times New Roman;Times;serif"/>
                  <w:color w:val="000000"/>
                  <w:sz w:val="20"/>
                </w:rPr>
                <w:t xml:space="preserve">S-ii </w:t>
              </w:r>
            </w:hyperlink>
          </w:p>
        </w:tc>
      </w:tr>
      <w:tr>
        <w:trPr/>
        <w:tc>
          <w:tcPr>
            <w:tcW w:w="5795" w:type="dxa"/>
            <w:tcBorders/>
            <w:vAlign w:val="center"/>
          </w:tcPr>
          <w:p>
            <w:pPr>
              <w:pStyle w:val="TableContents"/>
              <w:bidi w:val="0"/>
              <w:spacing w:before="0" w:after="283"/>
              <w:ind w:left="0" w:right="0" w:hanging="0"/>
              <w:jc w:val="left"/>
              <w:rPr/>
            </w:pPr>
            <w:hyperlink w:anchor="sPSS">
              <w:r>
                <w:rPr>
                  <w:rStyle w:val="InternetLink"/>
                  <w:rFonts w:ascii="Times New Roman;Times;serif" w:hAnsi="Times New Roman;Times;serif"/>
                  <w:color w:val="000000"/>
                  <w:sz w:val="20"/>
                </w:rPr>
                <w:t>Prospectus Supplement 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PSS">
              <w:r>
                <w:rPr>
                  <w:rStyle w:val="InternetLink"/>
                  <w:rFonts w:ascii="Times New Roman;Times;serif" w:hAnsi="Times New Roman;Times;serif"/>
                  <w:color w:val="000000"/>
                  <w:sz w:val="20"/>
                </w:rPr>
                <w:t xml:space="preserve">S-1 </w:t>
              </w:r>
            </w:hyperlink>
          </w:p>
        </w:tc>
      </w:tr>
      <w:tr>
        <w:trPr/>
        <w:tc>
          <w:tcPr>
            <w:tcW w:w="5795" w:type="dxa"/>
            <w:tcBorders/>
            <w:shd w:fill="CCEEFF" w:val="clear"/>
            <w:vAlign w:val="center"/>
          </w:tcPr>
          <w:p>
            <w:pPr>
              <w:pStyle w:val="TableContents"/>
              <w:bidi w:val="0"/>
              <w:spacing w:before="0" w:after="283"/>
              <w:ind w:left="0" w:right="0" w:hanging="0"/>
              <w:jc w:val="left"/>
              <w:rPr/>
            </w:pPr>
            <w:hyperlink w:anchor="sTO">
              <w:r>
                <w:rPr>
                  <w:rStyle w:val="InternetLink"/>
                  <w:rFonts w:ascii="Times New Roman;Times;serif" w:hAnsi="Times New Roman;Times;serif"/>
                  <w:color w:val="000000"/>
                  <w:sz w:val="20"/>
                </w:rPr>
                <w:t>The Offering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TO">
              <w:r>
                <w:rPr>
                  <w:rStyle w:val="InternetLink"/>
                  <w:rFonts w:ascii="Times New Roman;Times;serif" w:hAnsi="Times New Roman;Times;serif"/>
                  <w:color w:val="000000"/>
                  <w:sz w:val="20"/>
                </w:rPr>
                <w:t xml:space="preserve">S-4 </w:t>
              </w:r>
            </w:hyperlink>
          </w:p>
        </w:tc>
      </w:tr>
      <w:tr>
        <w:trPr/>
        <w:tc>
          <w:tcPr>
            <w:tcW w:w="5795" w:type="dxa"/>
            <w:tcBorders/>
            <w:vAlign w:val="center"/>
          </w:tcPr>
          <w:p>
            <w:pPr>
              <w:pStyle w:val="TableContents"/>
              <w:bidi w:val="0"/>
              <w:spacing w:before="0" w:after="283"/>
              <w:ind w:left="0" w:right="0" w:hanging="0"/>
              <w:jc w:val="left"/>
              <w:rPr/>
            </w:pPr>
            <w:hyperlink w:anchor="sRFS">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RFS">
              <w:r>
                <w:rPr>
                  <w:rStyle w:val="InternetLink"/>
                  <w:rFonts w:ascii="Times New Roman;Times;serif" w:hAnsi="Times New Roman;Times;serif"/>
                  <w:color w:val="000000"/>
                  <w:sz w:val="20"/>
                </w:rPr>
                <w:t xml:space="preserve">S-5 </w:t>
              </w:r>
            </w:hyperlink>
          </w:p>
        </w:tc>
      </w:tr>
      <w:tr>
        <w:trPr/>
        <w:tc>
          <w:tcPr>
            <w:tcW w:w="5795" w:type="dxa"/>
            <w:tcBorders/>
            <w:shd w:fill="CCEEFF" w:val="clear"/>
            <w:vAlign w:val="center"/>
          </w:tcPr>
          <w:p>
            <w:pPr>
              <w:pStyle w:val="TableContents"/>
              <w:bidi w:val="0"/>
              <w:spacing w:before="0" w:after="283"/>
              <w:ind w:left="0" w:right="0" w:hanging="0"/>
              <w:jc w:val="left"/>
              <w:rPr/>
            </w:pPr>
            <w:hyperlink w:anchor="sFL">
              <w:r>
                <w:rPr>
                  <w:rStyle w:val="InternetLink"/>
                  <w:rFonts w:ascii="Times New Roman;Times;serif" w:hAnsi="Times New Roman;Times;serif"/>
                  <w:color w:val="000000"/>
                  <w:sz w:val="20"/>
                </w:rPr>
                <w:t>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FL">
              <w:r>
                <w:rPr>
                  <w:rStyle w:val="InternetLink"/>
                  <w:rFonts w:ascii="Times New Roman;Times;serif" w:hAnsi="Times New Roman;Times;serif"/>
                  <w:color w:val="000000"/>
                  <w:sz w:val="20"/>
                </w:rPr>
                <w:t xml:space="preserve">S-7 </w:t>
              </w:r>
            </w:hyperlink>
          </w:p>
        </w:tc>
      </w:tr>
      <w:tr>
        <w:trPr/>
        <w:tc>
          <w:tcPr>
            <w:tcW w:w="5795" w:type="dxa"/>
            <w:tcBorders/>
            <w:vAlign w:val="center"/>
          </w:tcPr>
          <w:p>
            <w:pPr>
              <w:pStyle w:val="TableContents"/>
              <w:bidi w:val="0"/>
              <w:spacing w:before="0" w:after="283"/>
              <w:ind w:left="0" w:right="0" w:hanging="0"/>
              <w:jc w:val="left"/>
              <w:rPr/>
            </w:pPr>
            <w:hyperlink w:anchor="sUP">
              <w:r>
                <w:rPr>
                  <w:rStyle w:val="InternetLink"/>
                  <w:rFonts w:ascii="Times New Roman;Times;serif" w:hAnsi="Times New Roman;Times;serif"/>
                  <w:color w:val="000000"/>
                  <w:sz w:val="20"/>
                </w:rPr>
                <w:t>Use of Proceeds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UP">
              <w:r>
                <w:rPr>
                  <w:rStyle w:val="InternetLink"/>
                  <w:rFonts w:ascii="Times New Roman;Times;serif" w:hAnsi="Times New Roman;Times;serif"/>
                  <w:color w:val="000000"/>
                  <w:sz w:val="20"/>
                </w:rPr>
                <w:t xml:space="preserve">S-8 </w:t>
              </w:r>
            </w:hyperlink>
          </w:p>
        </w:tc>
      </w:tr>
      <w:tr>
        <w:trPr/>
        <w:tc>
          <w:tcPr>
            <w:tcW w:w="5795" w:type="dxa"/>
            <w:tcBorders/>
            <w:shd w:fill="CCEEFF" w:val="clear"/>
            <w:vAlign w:val="center"/>
          </w:tcPr>
          <w:p>
            <w:pPr>
              <w:pStyle w:val="TableContents"/>
              <w:bidi w:val="0"/>
              <w:spacing w:before="0" w:after="283"/>
              <w:ind w:left="0" w:right="0" w:hanging="0"/>
              <w:jc w:val="left"/>
              <w:rPr/>
            </w:pPr>
            <w:hyperlink w:anchor="sDP">
              <w:r>
                <w:rPr>
                  <w:rStyle w:val="InternetLink"/>
                  <w:rFonts w:ascii="Times New Roman;Times;serif" w:hAnsi="Times New Roman;Times;serif"/>
                  <w:color w:val="000000"/>
                  <w:sz w:val="20"/>
                </w:rPr>
                <w:t>Dividend Policy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DP">
              <w:r>
                <w:rPr>
                  <w:rStyle w:val="InternetLink"/>
                  <w:rFonts w:ascii="Times New Roman;Times;serif" w:hAnsi="Times New Roman;Times;serif"/>
                  <w:color w:val="000000"/>
                  <w:sz w:val="20"/>
                </w:rPr>
                <w:t xml:space="preserve">S-9 </w:t>
              </w:r>
            </w:hyperlink>
          </w:p>
        </w:tc>
      </w:tr>
      <w:tr>
        <w:trPr/>
        <w:tc>
          <w:tcPr>
            <w:tcW w:w="5795" w:type="dxa"/>
            <w:tcBorders/>
            <w:vAlign w:val="center"/>
          </w:tcPr>
          <w:p>
            <w:pPr>
              <w:pStyle w:val="TableContents"/>
              <w:bidi w:val="0"/>
              <w:spacing w:before="0" w:after="283"/>
              <w:ind w:left="0" w:right="0" w:hanging="0"/>
              <w:jc w:val="left"/>
              <w:rPr/>
            </w:pPr>
            <w:hyperlink w:anchor="sDIL">
              <w:r>
                <w:rPr>
                  <w:rStyle w:val="InternetLink"/>
                  <w:rFonts w:ascii="Times New Roman;Times;serif" w:hAnsi="Times New Roman;Times;serif"/>
                  <w:color w:val="000000"/>
                  <w:sz w:val="20"/>
                </w:rPr>
                <w:t>Dilution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DIL">
              <w:r>
                <w:rPr>
                  <w:rStyle w:val="InternetLink"/>
                  <w:rFonts w:ascii="Times New Roman;Times;serif" w:hAnsi="Times New Roman;Times;serif"/>
                  <w:color w:val="000000"/>
                  <w:sz w:val="20"/>
                </w:rPr>
                <w:t xml:space="preserve">S-10 </w:t>
              </w:r>
            </w:hyperlink>
          </w:p>
        </w:tc>
      </w:tr>
      <w:tr>
        <w:trPr/>
        <w:tc>
          <w:tcPr>
            <w:tcW w:w="5795" w:type="dxa"/>
            <w:tcBorders/>
            <w:shd w:fill="CCEEFF" w:val="clear"/>
            <w:vAlign w:val="center"/>
          </w:tcPr>
          <w:p>
            <w:pPr>
              <w:pStyle w:val="TableContents"/>
              <w:bidi w:val="0"/>
              <w:spacing w:before="0" w:after="283"/>
              <w:ind w:left="0" w:right="0" w:hanging="0"/>
              <w:jc w:val="left"/>
              <w:rPr/>
            </w:pPr>
            <w:hyperlink w:anchor="sTAX">
              <w:r>
                <w:rPr>
                  <w:rStyle w:val="InternetLink"/>
                  <w:rFonts w:ascii="Times New Roman;Times;serif" w:hAnsi="Times New Roman;Times;serif"/>
                  <w:color w:val="000000"/>
                  <w:sz w:val="20"/>
                </w:rPr>
                <w:t>Material U.S. Federal Income Tax Considerations For Non-U.S. 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TAX">
              <w:r>
                <w:rPr>
                  <w:rStyle w:val="InternetLink"/>
                  <w:rFonts w:ascii="Times New Roman;Times;serif" w:hAnsi="Times New Roman;Times;serif"/>
                  <w:color w:val="000000"/>
                  <w:sz w:val="20"/>
                </w:rPr>
                <w:t xml:space="preserve">S-11 </w:t>
              </w:r>
            </w:hyperlink>
          </w:p>
        </w:tc>
      </w:tr>
      <w:tr>
        <w:trPr/>
        <w:tc>
          <w:tcPr>
            <w:tcW w:w="5795" w:type="dxa"/>
            <w:tcBorders/>
            <w:vAlign w:val="center"/>
          </w:tcPr>
          <w:p>
            <w:pPr>
              <w:pStyle w:val="TableContents"/>
              <w:bidi w:val="0"/>
              <w:spacing w:before="0" w:after="283"/>
              <w:ind w:left="0" w:right="0" w:hanging="0"/>
              <w:jc w:val="left"/>
              <w:rPr/>
            </w:pPr>
            <w:hyperlink w:anchor="sPD">
              <w:r>
                <w:rPr>
                  <w:rStyle w:val="InternetLink"/>
                  <w:rFonts w:ascii="Times New Roman;Times;serif" w:hAnsi="Times New Roman;Times;serif"/>
                  <w:color w:val="000000"/>
                  <w:sz w:val="20"/>
                </w:rPr>
                <w:t>Plan of Distribution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PD">
              <w:r>
                <w:rPr>
                  <w:rStyle w:val="InternetLink"/>
                  <w:rFonts w:ascii="Times New Roman;Times;serif" w:hAnsi="Times New Roman;Times;serif"/>
                  <w:color w:val="000000"/>
                  <w:sz w:val="20"/>
                </w:rPr>
                <w:t xml:space="preserve">S-15 </w:t>
              </w:r>
            </w:hyperlink>
          </w:p>
        </w:tc>
      </w:tr>
      <w:tr>
        <w:trPr/>
        <w:tc>
          <w:tcPr>
            <w:tcW w:w="5795" w:type="dxa"/>
            <w:tcBorders/>
            <w:shd w:fill="CCEEFF" w:val="clear"/>
            <w:vAlign w:val="center"/>
          </w:tcPr>
          <w:p>
            <w:pPr>
              <w:pStyle w:val="TableContents"/>
              <w:bidi w:val="0"/>
              <w:spacing w:before="0" w:after="283"/>
              <w:ind w:left="0" w:right="0" w:hanging="0"/>
              <w:jc w:val="left"/>
              <w:rPr/>
            </w:pPr>
            <w:hyperlink w:anchor="sLMS">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LMS">
              <w:r>
                <w:rPr>
                  <w:rStyle w:val="InternetLink"/>
                  <w:rFonts w:ascii="Times New Roman;Times;serif" w:hAnsi="Times New Roman;Times;serif"/>
                  <w:color w:val="000000"/>
                  <w:sz w:val="20"/>
                </w:rPr>
                <w:t xml:space="preserve">S-17 </w:t>
              </w:r>
            </w:hyperlink>
          </w:p>
        </w:tc>
      </w:tr>
      <w:tr>
        <w:trPr/>
        <w:tc>
          <w:tcPr>
            <w:tcW w:w="5795" w:type="dxa"/>
            <w:tcBorders/>
            <w:vAlign w:val="center"/>
          </w:tcPr>
          <w:p>
            <w:pPr>
              <w:pStyle w:val="TableContents"/>
              <w:bidi w:val="0"/>
              <w:spacing w:before="0" w:after="283"/>
              <w:ind w:left="0" w:right="0" w:hanging="0"/>
              <w:jc w:val="left"/>
              <w:rPr/>
            </w:pPr>
            <w:hyperlink w:anchor="sEX">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EX">
              <w:r>
                <w:rPr>
                  <w:rStyle w:val="InternetLink"/>
                  <w:rFonts w:ascii="Times New Roman;Times;serif" w:hAnsi="Times New Roman;Times;serif"/>
                  <w:color w:val="000000"/>
                  <w:sz w:val="20"/>
                </w:rPr>
                <w:t xml:space="preserve">S-17 </w:t>
              </w:r>
            </w:hyperlink>
          </w:p>
        </w:tc>
      </w:tr>
      <w:tr>
        <w:trPr/>
        <w:tc>
          <w:tcPr>
            <w:tcW w:w="5795" w:type="dxa"/>
            <w:tcBorders/>
            <w:shd w:fill="CCEEFF" w:val="clear"/>
            <w:vAlign w:val="center"/>
          </w:tcPr>
          <w:p>
            <w:pPr>
              <w:pStyle w:val="TableContents"/>
              <w:bidi w:val="0"/>
              <w:spacing w:before="0" w:after="283"/>
              <w:ind w:left="0" w:right="0" w:hanging="0"/>
              <w:jc w:val="left"/>
              <w:rPr/>
            </w:pPr>
            <w:hyperlink w:anchor="sWYI">
              <w:r>
                <w:rPr>
                  <w:rStyle w:val="InternetLink"/>
                  <w:rFonts w:ascii="Times New Roman;Times;serif" w:hAnsi="Times New Roman;Times;serif"/>
                  <w:color w:val="000000"/>
                  <w:sz w:val="20"/>
                </w:rPr>
                <w:t>Where You Can Find More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WYI">
              <w:r>
                <w:rPr>
                  <w:rStyle w:val="InternetLink"/>
                  <w:rFonts w:ascii="Times New Roman;Times;serif" w:hAnsi="Times New Roman;Times;serif"/>
                  <w:color w:val="000000"/>
                  <w:sz w:val="20"/>
                </w:rPr>
                <w:t xml:space="preserve">S-17 </w:t>
              </w:r>
            </w:hyperlink>
          </w:p>
        </w:tc>
      </w:tr>
      <w:tr>
        <w:trPr/>
        <w:tc>
          <w:tcPr>
            <w:tcW w:w="5795" w:type="dxa"/>
            <w:tcBorders/>
            <w:vAlign w:val="center"/>
          </w:tcPr>
          <w:p>
            <w:pPr>
              <w:pStyle w:val="TableContents"/>
              <w:bidi w:val="0"/>
              <w:spacing w:before="0" w:after="283"/>
              <w:ind w:left="0" w:right="0" w:hanging="0"/>
              <w:jc w:val="left"/>
              <w:rPr/>
            </w:pPr>
            <w:hyperlink w:anchor="sIR">
              <w:r>
                <w:rPr>
                  <w:rStyle w:val="InternetLink"/>
                  <w:rFonts w:ascii="Times New Roman;Times;serif" w:hAnsi="Times New Roman;Times;serif"/>
                  <w:color w:val="000000"/>
                  <w:sz w:val="20"/>
                </w:rPr>
                <w:t>Incorporation by Reference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IR">
              <w:r>
                <w:rPr>
                  <w:rStyle w:val="InternetLink"/>
                  <w:rFonts w:ascii="Times New Roman;Times;serif" w:hAnsi="Times New Roman;Times;serif"/>
                  <w:color w:val="000000"/>
                  <w:sz w:val="20"/>
                </w:rPr>
                <w:t>S-17</w:t>
              </w:r>
            </w:hyperlink>
          </w:p>
        </w:tc>
      </w:tr>
      <w:tr>
        <w:trPr/>
        <w:tc>
          <w:tcPr>
            <w:tcW w:w="57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Prospectus </w:t>
      </w:r>
    </w:p>
    <w:tbl>
      <w:tblPr>
        <w:tblW w:w="3950" w:type="dxa"/>
        <w:jc w:val="left"/>
        <w:tblInd w:w="0" w:type="dxa"/>
        <w:tblLayout w:type="fixed"/>
        <w:tblCellMar>
          <w:top w:w="0" w:type="dxa"/>
          <w:left w:w="0" w:type="dxa"/>
          <w:bottom w:w="0" w:type="dxa"/>
          <w:right w:w="0" w:type="dxa"/>
        </w:tblCellMar>
      </w:tblPr>
      <w:tblGrid>
        <w:gridCol w:w="3230"/>
        <w:gridCol w:w="140"/>
        <w:gridCol w:w="140"/>
        <w:gridCol w:w="440"/>
      </w:tblGrid>
      <w:tr>
        <w:trPr/>
        <w:tc>
          <w:tcPr>
            <w:tcW w:w="32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3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3230"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ATP">
              <w:r>
                <w:rPr>
                  <w:rStyle w:val="InternetLink"/>
                  <w:rFonts w:ascii="Times New Roman;Times;serif" w:hAnsi="Times New Roman;Times;serif"/>
                  <w:color w:val="000000"/>
                  <w:sz w:val="20"/>
                </w:rPr>
                <w:t>ii</w:t>
              </w:r>
            </w:hyperlink>
          </w:p>
        </w:tc>
      </w:tr>
      <w:tr>
        <w:trPr/>
        <w:tc>
          <w:tcPr>
            <w:tcW w:w="3230" w:type="dxa"/>
            <w:tcBorders/>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Prospectus 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PS">
              <w:r>
                <w:rPr>
                  <w:rStyle w:val="InternetLink"/>
                  <w:rFonts w:ascii="Times New Roman;Times;serif" w:hAnsi="Times New Roman;Times;serif"/>
                  <w:color w:val="000000"/>
                  <w:sz w:val="20"/>
                </w:rPr>
                <w:t>1</w:t>
              </w:r>
            </w:hyperlink>
          </w:p>
        </w:tc>
      </w:tr>
      <w:tr>
        <w:trPr/>
        <w:tc>
          <w:tcPr>
            <w:tcW w:w="3230"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F">
              <w:r>
                <w:rPr>
                  <w:rStyle w:val="InternetLink"/>
                  <w:rFonts w:ascii="Times New Roman;Times;serif" w:hAnsi="Times New Roman;Times;serif"/>
                  <w:color w:val="000000"/>
                  <w:sz w:val="20"/>
                </w:rPr>
                <w:t>5</w:t>
              </w:r>
            </w:hyperlink>
          </w:p>
        </w:tc>
      </w:tr>
      <w:tr>
        <w:trPr/>
        <w:tc>
          <w:tcPr>
            <w:tcW w:w="3230" w:type="dxa"/>
            <w:tcBorders/>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FLS">
              <w:r>
                <w:rPr>
                  <w:rStyle w:val="InternetLink"/>
                  <w:rFonts w:ascii="Times New Roman;Times;serif" w:hAnsi="Times New Roman;Times;serif"/>
                  <w:color w:val="000000"/>
                  <w:sz w:val="20"/>
                </w:rPr>
                <w:t>6</w:t>
              </w:r>
            </w:hyperlink>
          </w:p>
        </w:tc>
      </w:tr>
      <w:tr>
        <w:trPr/>
        <w:tc>
          <w:tcPr>
            <w:tcW w:w="3230" w:type="dxa"/>
            <w:tcBorders/>
            <w:shd w:fill="CCEEFF" w:val="clear"/>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Use of Proceeds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UOP">
              <w:r>
                <w:rPr>
                  <w:rStyle w:val="InternetLink"/>
                  <w:rFonts w:ascii="Times New Roman;Times;serif" w:hAnsi="Times New Roman;Times;serif"/>
                  <w:color w:val="000000"/>
                  <w:sz w:val="20"/>
                </w:rPr>
                <w:t>7</w:t>
              </w:r>
            </w:hyperlink>
          </w:p>
        </w:tc>
      </w:tr>
      <w:tr>
        <w:trPr/>
        <w:tc>
          <w:tcPr>
            <w:tcW w:w="3230" w:type="dxa"/>
            <w:tcBorders/>
            <w:vAlign w:val="center"/>
          </w:tcPr>
          <w:p>
            <w:pPr>
              <w:pStyle w:val="TableContents"/>
              <w:bidi w:val="0"/>
              <w:spacing w:before="0" w:after="283"/>
              <w:ind w:left="0" w:right="0" w:hanging="0"/>
              <w:jc w:val="left"/>
              <w:rPr/>
            </w:pPr>
            <w:hyperlink w:anchor="tDCS">
              <w:r>
                <w:rPr>
                  <w:rStyle w:val="InternetLink"/>
                  <w:rFonts w:ascii="Times New Roman;Times;serif" w:hAnsi="Times New Roman;Times;serif"/>
                  <w:color w:val="000000"/>
                  <w:sz w:val="20"/>
                </w:rPr>
                <w:t>Description of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CS">
              <w:r>
                <w:rPr>
                  <w:rStyle w:val="InternetLink"/>
                  <w:rFonts w:ascii="Times New Roman;Times;serif" w:hAnsi="Times New Roman;Times;serif"/>
                  <w:color w:val="000000"/>
                  <w:sz w:val="20"/>
                </w:rPr>
                <w:t>8</w:t>
              </w:r>
            </w:hyperlink>
          </w:p>
        </w:tc>
      </w:tr>
      <w:tr>
        <w:trPr/>
        <w:tc>
          <w:tcPr>
            <w:tcW w:w="3230" w:type="dxa"/>
            <w:tcBorders/>
            <w:shd w:fill="CCEEFF" w:val="clear"/>
            <w:vAlign w:val="center"/>
          </w:tcPr>
          <w:p>
            <w:pPr>
              <w:pStyle w:val="TableContents"/>
              <w:bidi w:val="0"/>
              <w:spacing w:before="0" w:after="283"/>
              <w:ind w:left="0" w:right="0" w:hanging="0"/>
              <w:jc w:val="left"/>
              <w:rPr/>
            </w:pPr>
            <w:hyperlink w:anchor="tDS">
              <w:r>
                <w:rPr>
                  <w:rStyle w:val="InternetLink"/>
                  <w:rFonts w:ascii="Times New Roman;Times;serif" w:hAnsi="Times New Roman;Times;serif"/>
                  <w:color w:val="000000"/>
                  <w:sz w:val="20"/>
                </w:rPr>
                <w:t>Description of Debt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S">
              <w:r>
                <w:rPr>
                  <w:rStyle w:val="InternetLink"/>
                  <w:rFonts w:ascii="Times New Roman;Times;serif" w:hAnsi="Times New Roman;Times;serif"/>
                  <w:color w:val="000000"/>
                  <w:sz w:val="20"/>
                </w:rPr>
                <w:t>8</w:t>
              </w:r>
            </w:hyperlink>
          </w:p>
        </w:tc>
      </w:tr>
      <w:tr>
        <w:trPr/>
        <w:tc>
          <w:tcPr>
            <w:tcW w:w="3230" w:type="dxa"/>
            <w:tcBorders/>
            <w:vAlign w:val="center"/>
          </w:tcPr>
          <w:p>
            <w:pPr>
              <w:pStyle w:val="TableContents"/>
              <w:bidi w:val="0"/>
              <w:spacing w:before="0" w:after="283"/>
              <w:ind w:left="0" w:right="0" w:hanging="0"/>
              <w:jc w:val="left"/>
              <w:rPr/>
            </w:pPr>
            <w:hyperlink w:anchor="tDDS">
              <w:r>
                <w:rPr>
                  <w:rStyle w:val="InternetLink"/>
                  <w:rFonts w:ascii="Times New Roman;Times;serif" w:hAnsi="Times New Roman;Times;serif"/>
                  <w:color w:val="000000"/>
                  <w:sz w:val="20"/>
                </w:rPr>
                <w:t>Description of Depositary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DS">
              <w:r>
                <w:rPr>
                  <w:rStyle w:val="InternetLink"/>
                  <w:rFonts w:ascii="Times New Roman;Times;serif" w:hAnsi="Times New Roman;Times;serif"/>
                  <w:color w:val="000000"/>
                  <w:sz w:val="20"/>
                </w:rPr>
                <w:t>15</w:t>
              </w:r>
            </w:hyperlink>
          </w:p>
        </w:tc>
      </w:tr>
      <w:tr>
        <w:trPr/>
        <w:tc>
          <w:tcPr>
            <w:tcW w:w="3230" w:type="dxa"/>
            <w:tcBorders/>
            <w:shd w:fill="CCEEFF" w:val="clear"/>
            <w:vAlign w:val="center"/>
          </w:tcPr>
          <w:p>
            <w:pPr>
              <w:pStyle w:val="TableContents"/>
              <w:bidi w:val="0"/>
              <w:spacing w:before="0" w:after="283"/>
              <w:ind w:left="0" w:right="0" w:hanging="0"/>
              <w:jc w:val="left"/>
              <w:rPr/>
            </w:pPr>
            <w:hyperlink w:anchor="tDW">
              <w:r>
                <w:rPr>
                  <w:rStyle w:val="InternetLink"/>
                  <w:rFonts w:ascii="Times New Roman;Times;serif" w:hAnsi="Times New Roman;Times;serif"/>
                  <w:color w:val="000000"/>
                  <w:sz w:val="20"/>
                </w:rPr>
                <w:t>Description of Warrants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W">
              <w:r>
                <w:rPr>
                  <w:rStyle w:val="InternetLink"/>
                  <w:rFonts w:ascii="Times New Roman;Times;serif" w:hAnsi="Times New Roman;Times;serif"/>
                  <w:color w:val="000000"/>
                  <w:sz w:val="20"/>
                </w:rPr>
                <w:t>17</w:t>
              </w:r>
            </w:hyperlink>
          </w:p>
        </w:tc>
      </w:tr>
      <w:tr>
        <w:trPr/>
        <w:tc>
          <w:tcPr>
            <w:tcW w:w="3230" w:type="dxa"/>
            <w:tcBorders/>
            <w:vAlign w:val="center"/>
          </w:tcPr>
          <w:p>
            <w:pPr>
              <w:pStyle w:val="TableContents"/>
              <w:bidi w:val="0"/>
              <w:spacing w:before="0" w:after="283"/>
              <w:ind w:left="0" w:right="0" w:hanging="0"/>
              <w:jc w:val="left"/>
              <w:rPr/>
            </w:pPr>
            <w:hyperlink w:anchor="tDSR">
              <w:r>
                <w:rPr>
                  <w:rStyle w:val="InternetLink"/>
                  <w:rFonts w:ascii="Times New Roman;Times;serif" w:hAnsi="Times New Roman;Times;serif"/>
                  <w:color w:val="000000"/>
                  <w:sz w:val="20"/>
                </w:rPr>
                <w:t>Description of Subscription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SR">
              <w:r>
                <w:rPr>
                  <w:rStyle w:val="InternetLink"/>
                  <w:rFonts w:ascii="Times New Roman;Times;serif" w:hAnsi="Times New Roman;Times;serif"/>
                  <w:color w:val="000000"/>
                  <w:sz w:val="20"/>
                </w:rPr>
                <w:t>18</w:t>
              </w:r>
            </w:hyperlink>
          </w:p>
        </w:tc>
      </w:tr>
      <w:tr>
        <w:trPr/>
        <w:tc>
          <w:tcPr>
            <w:tcW w:w="3230" w:type="dxa"/>
            <w:tcBorders/>
            <w:shd w:fill="CCEEFF" w:val="clear"/>
            <w:vAlign w:val="center"/>
          </w:tcPr>
          <w:p>
            <w:pPr>
              <w:pStyle w:val="TableContents"/>
              <w:bidi w:val="0"/>
              <w:spacing w:before="0" w:after="283"/>
              <w:ind w:left="0" w:right="0" w:hanging="0"/>
              <w:jc w:val="left"/>
              <w:rPr/>
            </w:pPr>
            <w:hyperlink w:anchor="tDPC">
              <w:r>
                <w:rPr>
                  <w:rStyle w:val="InternetLink"/>
                  <w:rFonts w:ascii="Times New Roman;Times;serif" w:hAnsi="Times New Roman;Times;serif"/>
                  <w:color w:val="000000"/>
                  <w:sz w:val="20"/>
                </w:rPr>
                <w:t>Description of Purchase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PC">
              <w:r>
                <w:rPr>
                  <w:rStyle w:val="InternetLink"/>
                  <w:rFonts w:ascii="Times New Roman;Times;serif" w:hAnsi="Times New Roman;Times;serif"/>
                  <w:color w:val="000000"/>
                  <w:sz w:val="20"/>
                </w:rPr>
                <w:t>18</w:t>
              </w:r>
            </w:hyperlink>
          </w:p>
        </w:tc>
      </w:tr>
      <w:tr>
        <w:trPr/>
        <w:tc>
          <w:tcPr>
            <w:tcW w:w="3230" w:type="dxa"/>
            <w:tcBorders/>
            <w:vAlign w:val="center"/>
          </w:tcPr>
          <w:p>
            <w:pPr>
              <w:pStyle w:val="TableContents"/>
              <w:bidi w:val="0"/>
              <w:spacing w:before="0" w:after="283"/>
              <w:ind w:left="0" w:right="0" w:hanging="0"/>
              <w:jc w:val="left"/>
              <w:rPr/>
            </w:pPr>
            <w:hyperlink w:anchor="tDU">
              <w:r>
                <w:rPr>
                  <w:rStyle w:val="InternetLink"/>
                  <w:rFonts w:ascii="Times New Roman;Times;serif" w:hAnsi="Times New Roman;Times;serif"/>
                  <w:color w:val="000000"/>
                  <w:sz w:val="20"/>
                </w:rPr>
                <w:t>Description of Units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U">
              <w:r>
                <w:rPr>
                  <w:rStyle w:val="InternetLink"/>
                  <w:rFonts w:ascii="Times New Roman;Times;serif" w:hAnsi="Times New Roman;Times;serif"/>
                  <w:color w:val="000000"/>
                  <w:sz w:val="20"/>
                </w:rPr>
                <w:t>19</w:t>
              </w:r>
            </w:hyperlink>
          </w:p>
        </w:tc>
      </w:tr>
      <w:tr>
        <w:trPr/>
        <w:tc>
          <w:tcPr>
            <w:tcW w:w="3230" w:type="dxa"/>
            <w:tcBorders/>
            <w:shd w:fill="CCEEFF" w:val="clear"/>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POD">
              <w:r>
                <w:rPr>
                  <w:rStyle w:val="InternetLink"/>
                  <w:rFonts w:ascii="Times New Roman;Times;serif" w:hAnsi="Times New Roman;Times;serif"/>
                  <w:color w:val="000000"/>
                  <w:sz w:val="20"/>
                </w:rPr>
                <w:t>21</w:t>
              </w:r>
            </w:hyperlink>
          </w:p>
        </w:tc>
      </w:tr>
      <w:tr>
        <w:trPr/>
        <w:tc>
          <w:tcPr>
            <w:tcW w:w="3230"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LM">
              <w:r>
                <w:rPr>
                  <w:rStyle w:val="InternetLink"/>
                  <w:rFonts w:ascii="Times New Roman;Times;serif" w:hAnsi="Times New Roman;Times;serif"/>
                  <w:color w:val="000000"/>
                  <w:sz w:val="20"/>
                </w:rPr>
                <w:t>23</w:t>
              </w:r>
            </w:hyperlink>
          </w:p>
        </w:tc>
      </w:tr>
      <w:tr>
        <w:trPr/>
        <w:tc>
          <w:tcPr>
            <w:tcW w:w="3230"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EXP">
              <w:r>
                <w:rPr>
                  <w:rStyle w:val="InternetLink"/>
                  <w:rFonts w:ascii="Times New Roman;Times;serif" w:hAnsi="Times New Roman;Times;serif"/>
                  <w:color w:val="000000"/>
                  <w:sz w:val="20"/>
                </w:rPr>
                <w:t>23</w:t>
              </w:r>
            </w:hyperlink>
          </w:p>
        </w:tc>
      </w:tr>
      <w:tr>
        <w:trPr/>
        <w:tc>
          <w:tcPr>
            <w:tcW w:w="323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WYC">
              <w:r>
                <w:rPr>
                  <w:rStyle w:val="InternetLink"/>
                  <w:rFonts w:ascii="Times New Roman;Times;serif" w:hAnsi="Times New Roman;Times;serif"/>
                  <w:color w:val="000000"/>
                  <w:sz w:val="20"/>
                </w:rPr>
                <w:t>23</w:t>
              </w:r>
            </w:hyperlink>
          </w:p>
        </w:tc>
      </w:tr>
      <w:tr>
        <w:trPr/>
        <w:tc>
          <w:tcPr>
            <w:tcW w:w="3230" w:type="dxa"/>
            <w:tcBorders/>
            <w:shd w:fill="CCEEFF" w:val="clear"/>
            <w:vAlign w:val="center"/>
          </w:tcPr>
          <w:p>
            <w:pPr>
              <w:pStyle w:val="TableContents"/>
              <w:bidi w:val="0"/>
              <w:spacing w:before="0" w:after="283"/>
              <w:ind w:left="0" w:right="0" w:hanging="0"/>
              <w:jc w:val="left"/>
              <w:rPr/>
            </w:pPr>
            <w:hyperlink w:anchor="tINC">
              <w:r>
                <w:rPr>
                  <w:rStyle w:val="InternetLink"/>
                  <w:rFonts w:ascii="Times New Roman;Times;serif" w:hAnsi="Times New Roman;Times;serif"/>
                  <w:color w:val="000000"/>
                  <w:sz w:val="20"/>
                </w:rPr>
                <w:t>Incorporation by Reference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INC">
              <w:r>
                <w:rPr>
                  <w:rStyle w:val="InternetLink"/>
                  <w:rFonts w:ascii="Times New Roman;Times;serif" w:hAnsi="Times New Roman;Times;serif"/>
                  <w:color w:val="000000"/>
                  <w:sz w:val="20"/>
                </w:rPr>
                <w:t>24</w:t>
              </w:r>
            </w:hyperlink>
          </w:p>
        </w:tc>
      </w:tr>
      <w:tr>
        <w:trPr/>
        <w:tc>
          <w:tcPr>
            <w:tcW w:w="32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82832x1_424b5_103-about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 w:name="sAPS"/>
      <w:bookmarkEnd w:id="7"/>
      <w:r>
        <w:rPr>
          <w:rFonts w:ascii="Times New Roman;Times;serif" w:hAnsi="Times New Roman;Times;serif"/>
          <w:b/>
          <w:color w:val="000000"/>
          <w:sz w:val="20"/>
        </w:rPr>
        <w:t xml:space="preserve">ABOUT THIS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supplement and the accompanying prospectus relate to the offering of our common stock. Before buying any of the common stock that we are offering, we urge you to carefully read this prospectus supplement, the accompanying prospectus, any free writing prospectus that we have authorized for use in connection with this offering, and the additional information described in the sections titled “Where You Can Find More Information” and “Incorporation by Reference” in this prospectus supplement. These documents contain important information that you should consider when making your investment decision.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supplement and the accompanying prospectus are part of a “shelf” registration statement on Form S-3 (File No. 333-295960) that was filed with the SEC on May 15, 2026 and became effective on June 2, 2026. This document is comprised of two parts. The first part is this prospectus supplement, which describes the specific terms of this offering and also adds to, and updates information contained in, the accompanying prospectus and the documents incorporated by reference into this prospectus supplement and the accompanying prospectus. The second part, the accompanying prospectus, including the documents incorporated by reference into the accompanying prospectus, provides more general information, some of which may not apply to this offering. Generally, when we refer to this prospectus, we are referring to the combined document consisting of this prospectus supplement and the accompanying prospectus. In this prospectus supplement, as permitted by law, we “incorporate by reference” information from other documents that we file with the SEC. This means that we can disclose important information to you by referring to those documents. The information incorporated by reference is considered to be a part of this prospectus supplement and the accompanying prospectus and should be read with the same care. When we make future filings with the SEC to update the information contained in documents that have been incorporated by reference, the information included or incorporated by reference in this prospectus supplement is considered to be automatically updated and superseded. In other words, in case of a conflict or inconsistency between information contained in this prospectus supplement and information in the accompanying prospectus or incorporated by reference into this prospectus supplement, you should rely on the information contained in the document that was filed later.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not, and the Agent has not, authorized anyone to provide you with information other than that contained, or incorporated by reference, in this prospectus supplement, the accompanying prospectus or in any free writing prospectus that we have authorized for use in connection with this offering. We and the Agent take no responsibility for, and can provide no assurance as to the reliability of, any other information that others may give you. We and the Agent are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into this prospectus supplement and the accompanying prospectus, and in any free writing prospectus that we have authorized for use in connection with this offering, is accurate only as of the date of those respective documents. Our business, financial condition, results of operations and prospects may have changed since those dates.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82832x1_424b5_104-summary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9" w:name="sPSS"/>
      <w:bookmarkEnd w:id="9"/>
      <w:r>
        <w:rPr>
          <w:rFonts w:ascii="Times New Roman;Times;serif" w:hAnsi="Times New Roman;Times;serif"/>
          <w:b/>
          <w:color w:val="000000"/>
          <w:sz w:val="20"/>
          <w:bdr w:val="single" w:sz="8" w:space="12" w:color="000000"/>
        </w:rPr>
        <w:t xml:space="preserve">PROSPECTUS SUPPLEMENT SUMMARY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that is presented in greater detail elsewhere, or incorporated by reference, in this prospectus supplement. It does not contain all of the information that may be important to you and your investment decision. Before investing in our securities, you should carefully read this entire prospectus, including the matters set forth in the section titled “Risk Factors” and the financial statements and related notes and other information that we incorporate by reference herein, including our Annual Report on Form 10-K and our Quarterly Reports on Form 10-Q. Unless the context indicates otherwise, references in this prospectus supplement to “VirnetX Holding Corporation,” “VirnetX,” “Company,” “registrant,” “we,” “our” and “us” refer, collectively, to VirnetX Holding Corporation, a Delaware corporation, and its subsidiaries taken as a whole. You should pay special attention to the “Risk Factors” section of this prospectus supplement to determine whether an investment in the shares of our common stock is appropriate for you.</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Company Overview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an Internet security software and technology company with patented cybersecurity solutions that are designed to ensure resilient, secure communications across any network or device.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flagship platform, VirnetX One™, is built on Zero Trust Network Access (ZTNA) principles and extends our patented Secure Domain Name System technology to establish end-to-end encrypted communications on demand, regardless of user location or endpoint. VirnetX One™ operates as a security-as-a-service platform and may be deployed in cloud, on-premise, or hybrid enterprise environments. The platform is designed to protect applications, services, and infrastructure by providing an additional security layer that integrates with existing systems to reduce exposure to evolving cyber threats affecting data, operating systems, infrastructure components, and gateway security controllers.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VirnetX Matrix™ leverages the VirnetX One™ platform to secure communications using encrypted, identity-based access controls, including in contested or high-risk environments. It is designed to protect internet-enabled enterprise applications, connected devices, and control systems, such as file servers, data backup systems, and VPN or firewall environments. VirnetX Matrix™ is intended to be deployed without requiring material changes to an enterprise’s existing infrastructure and provides centralized visibility and policy enforcement to address unauthorized access and evolving attack techniques.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VirnetX War Room™, also built on the VirnetX One™ platform, provides secure collaboration and visualization capabilities designed to support sensitive, unclassified but secure communications. The platform enables controlled access to virtual meeting environments by validating user and device permissions prior to granting access. VirnetX War Room™ is intended for use cases where confidentiality and access control are critical, including government, law enforcement, legal, financial, and healthcare environments.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VirnetX iSCOUT (IoT System for Connected Object Understanding and Telemetry) leverages a common, secure IoT and data infrastructure to fuse sensor, geospatial, and agency data into a unified operating picture, including in disaster response and smart city environments. It is designed to support mission-specific applications that can be customized for a range of markets, with two initial implementations currently in development: a Humanitarian Assistance Disaster Relief–Emergency Response (HADR-ER) capability that provides federal, state, and local partners with a real-time operating picture for national emergency management, and a smart city solution for international markets, including Japan, tailored to urban resilience, mobility, and critical infrastructure monitoring in dense metropolitan environments. VirnetX iSCOUT is intended to be deployed as a shared, exportable technology stack, with each application configured for its distinct mission, and we may pursue additional customized applications for other markets in the future.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products, including VirnetX One™, VirnetX Matrix™, and VirnetX War Room™, are designed to support U.S. Department of Defense (DoD), federal government, and commercial customers requiring real-time encrypted communications and network security. Our solutions are designed to be applicable across a range of public and private sector markets, including critical infrastructure, law enforcement, healthcare, financial services, legal services, energy, and related industries. We pursue sales opportunities nationwide and engage with universities and academic institutions to support research collaboration, workforce development, and technology transition initiatives.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also support international sales of our commercial products in compliance with applicable U.S. export control laws and regulations, including the International Traffic in Arms Regulations (ITAR) and the Export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82832x1_424b5_104-summary_pg2"/>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Administration Regulations (EAR). Our compliance processes are designed to ensure that international transactions adhere to export control requirements while supporting authorized global customers.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technology focuses on system design and evaluation to address the continued growth of Internet of Things (IoT) and edge computing environments. We are developing a federated, hybrid mesh network architecture designed with security as a foundational element, extending secure networking capabilities to resource-constrained devices through obfuscated and lightweight security mechanisms designed to protect communications without exposing underlying security processes. These efforts support secure identity, trust enforcement, and encrypted communications for distributed and edge-based systems, aligning our architecture with the industry’s shift toward decentralized and resilient network models. This approach incorporates dynamic trust evaluation, autonomous recovery, and distributed decision-making to enhance network resilience and adaptability. To support system design and evaluation, we employ Model-Based Systems Engineering (MBSE) and agent-based modeling methodologies. These approaches enable simulation and analysis of complex systems, including cyber-physical environments and adaptive networks, and support assessment of system behavior under evolving threat conditions.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Certain of our services are designed to align with the Department of Defense’s Digital Engineering Strategy by supporting cybersecurity integration across system design, command and control, battle management, and sensor orchestration, and by enhancing our MBSE and cyber threat assessment capabilities. Our dynamic trust evaluation methods are designed to enforce trust policies throughout system lifecycles, and our cyber threat intelligence and assessment services provide structured analysis of cyber risks and vulnerabilities.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intend to make available our digital engineering, cyber MBSE, and cyber threat intelligence services to federal, state, and local government agencies, subject to applicable contracting requirements. We hold a Multiple Award Schedule (MAS) and obtained DoD Joint Certification Program (DD Form 2345) certifications for our facilities in Zephyr Cove, Nevada, and Farmington, Utah, which permit access to certain unclassified technical data subject to export controls. Our wholly owned subsidiary, VirnetX Inc., was granted a Facility Security Clearance (FCL) by the Defense Counterintelligence and Security Agency for its Utah facility. This clearance is the culmination of a deliberate, multi-year security and compliance roadmap. These certifications streamline procurement of our products and services by federal, state, and local government agencies and support our ability to engage with government and defense customers while maintaining compliance with applicable handling and security requirements.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Additionally, we are developing a Center for Advanced Software and Hardware Integration at our Farmington, Utah facility, that incorporates artificial intelligence (AI) and digital twin technologies alongside our Software-Defined Networks capabilities. This facility is intended to support development and integration of secure, adaptive software solutions. We have entered into strategic relationships, including an investment in L2 Holdings, LLC (OmniTeq), an AI/Machine Learning (ML) solutions provider, and cooperative agreements, including a Cooperative Research and Development Agreement (CRADA) with the Air Force Research Laboratory, Intelligence Systems Directorate (AFRL/RI). The CRADA focuses on cybersecurity and ZTNA-related technologies, extends through 2030, and supports collaboration in areas relevant to defense and intelligence operations.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to federal, state, and local government agencies and defense customers, we pursue sales opportunities nationwide and engage with universities and academic institutions to support research collaboration, workforce development, and technology transition initiatives.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intellectual property portfolio is a core component of our business. We own U.S. and foreign patents, as well as pending patent applications, that are primarily directed to securing real-time communications over the Internet and related services. These patents underpin our technology and products. Certain portions of this portfolio were acquired by our principal operating subsidiary, VirnetX, Inc., from Leidos, Inc. in 2006.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employees include the core development team behind our inventions, technology, and software. Some members of this team have worked together for over twenty years and were on the same team that invented and developed this technology while working at Leidos, Inc. The team has continued its research and development work to refine our unique network security technology and make it more secure and easy to deploy. </w:t>
      </w:r>
    </w:p>
    <w:p>
      <w:pPr>
        <w:pStyle w:val="TextBody"/>
        <w:bidi w:val="0"/>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Corporate Information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executive offices are located at 308 Dorla Court, Suite 206, Zephyr Cove, Nevada 89448, and our telephone number at that address is (775) 548-1785. We maintain a website on the Internet at https://virnetx.com/. Our website, and the information contained therein, is not a part of this prospectus supplement.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82832x1_424b5_104-summary_pg3"/>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 holding company and conduct our operations through our wholly-owned subsidiary, VirnetX, Inc. VirnetX, Inc. was incorporated in the State of Delaware in August 2005. In November 2006, VirnetX, Inc. acquired certain patents from SAIC, now Leidos, Inc. In July 2007, we effected a merger by and among VirnetX, Inc., VirnetX Holding Corporation and a wholly-owned subsidiary of VirnetX Holding Corporation, whereby VirnetX, Inc. merged with, and became, a wholly-owned subsidiary of VirnetX Holding Corporation, and VirnetX Holding Corporation issued shares of its common stock to the stockholders of VirnetX, Inc. as consideration for the merger. As a result of this merger, the former security holders of VirnetX, Inc. came to own a majority of our outstanding common stock. On October 29, 2007, we changed our name from PASW, Inc. to VirnetX Holding Corporation.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VirnetX™, VirnetX One™, VirnetX Matrix™, and VirnetX War Room™ are our trademarks in the United States. This prospectus supplement includes product names, trade names and trademarks of other companies. All other product names, trade names and trademarks appearing in this prospectus supplement are the property of their respective holders.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82832x1_424b5_104-summary_pg4"/>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3" w:name="sTO"/>
      <w:bookmarkEnd w:id="13"/>
      <w:r>
        <w:rPr>
          <w:rFonts w:ascii="Times New Roman;Times;serif" w:hAnsi="Times New Roman;Times;serif"/>
          <w:b/>
          <w:color w:val="000000"/>
          <w:sz w:val="20"/>
          <w:bdr w:val="single" w:sz="8" w:space="12" w:color="000000"/>
        </w:rPr>
        <w:t xml:space="preserve">THE OFFERING </w:t>
      </w:r>
    </w:p>
    <w:p>
      <w:pPr>
        <w:pStyle w:val="TextBody"/>
        <w:bidi w:val="0"/>
        <w:spacing w:before="14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Common stock offered by us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Shares of our common stock having an aggregate offering price of up to $19,135,717, offered from time to time through the Agent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Common stock to be outstanding after this offering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 to 6,050,245 shares, assuming the sale of 1,854,236 shares of our common stock at an assumed offering price of $10.32 per share, the last reported sale price of our common stock on Nasdaq on September 29, 2026, based on 4,196,009 shares outstanding as of September 29, 2026, which excludes certain shares as further described below. The actual number of shares issued in this offering will vary depending on the number of shares sold in this offering, if any, and the sales price at which shares may be sold from time to time during this offering.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Manner of offering </w:t>
      </w:r>
    </w:p>
    <w:p>
      <w:pPr>
        <w:pStyle w:val="TextBody"/>
        <w:bidi w:val="0"/>
        <w:spacing w:before="0" w:after="240"/>
        <w:ind w:left="5040" w:right="0" w:hanging="0"/>
        <w:jc w:val="left"/>
        <w:rPr/>
      </w:pPr>
      <w:r>
        <w:rPr>
          <w:color w:val="000000"/>
          <w:bdr w:val="single" w:sz="8" w:space="12" w:color="000000"/>
        </w:rPr>
        <w:t>“</w:t>
      </w:r>
      <w:r>
        <w:rPr>
          <w:rFonts w:ascii="Times New Roman;Times;serif" w:hAnsi="Times New Roman;Times;serif"/>
          <w:color w:val="000000"/>
          <w:sz w:val="20"/>
          <w:bdr w:val="single" w:sz="8" w:space="12" w:color="000000"/>
        </w:rPr>
        <w:t>At the market offering” as defined in Rule 415(a)(4) under the Securities Act that may be made from time to time through the Agent. See “Plan of Distribution” on page S-</w:t>
      </w:r>
      <w:hyperlink w:anchor="sPD">
        <w:r>
          <w:rPr>
            <w:rStyle w:val="InternetLink"/>
          </w:rPr>
          <w:t>15</w:t>
        </w:r>
      </w:hyperlink>
      <w:r>
        <w:rPr>
          <w:rFonts w:ascii="Times New Roman;Times;serif" w:hAnsi="Times New Roman;Times;serif"/>
          <w:color w:val="000000"/>
          <w:sz w:val="20"/>
          <w:bdr w:val="single" w:sz="8" w:space="12" w:color="000000"/>
        </w:rPr>
        <w:t xml:space="preserve"> of this prospectus supplement.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Use of Proceeds </w:t>
      </w:r>
    </w:p>
    <w:p>
      <w:pPr>
        <w:pStyle w:val="TextBody"/>
        <w:bidi w:val="0"/>
        <w:spacing w:before="0" w:after="240"/>
        <w:ind w:left="5040" w:right="0" w:hanging="0"/>
        <w:jc w:val="left"/>
        <w:rPr/>
      </w:pPr>
      <w:r>
        <w:rPr>
          <w:rFonts w:ascii="Times New Roman;Times;serif" w:hAnsi="Times New Roman;Times;serif"/>
          <w:color w:val="000000"/>
          <w:sz w:val="20"/>
          <w:bdr w:val="single" w:sz="8" w:space="12" w:color="000000"/>
        </w:rPr>
        <w:t>We currently expect to use the net proceeds that we receive from this offering, if any, for product development and marketing, and general corporate purposes, which may include working capital, capital expenditures, and corporate expenses. We may also use a portion of the net proceeds to acquire, license or invest in complementary products, technologies or businesses; however, we currently have no agreements or commitments to complete any such transaction. See “Use of Proceeds” on page S-</w:t>
      </w:r>
      <w:hyperlink w:anchor="sUP">
        <w:r>
          <w:rPr>
            <w:rStyle w:val="InternetLink"/>
          </w:rPr>
          <w:t>8</w:t>
        </w:r>
      </w:hyperlink>
      <w:r>
        <w:rPr>
          <w:rFonts w:ascii="Times New Roman;Times;serif" w:hAnsi="Times New Roman;Times;serif"/>
          <w:color w:val="000000"/>
          <w:sz w:val="20"/>
          <w:bdr w:val="single" w:sz="8" w:space="12" w:color="000000"/>
        </w:rPr>
        <w:t xml:space="preserve"> of this prospectus supplement.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Risk Factors </w:t>
      </w:r>
    </w:p>
    <w:p>
      <w:pPr>
        <w:pStyle w:val="TextBody"/>
        <w:bidi w:val="0"/>
        <w:spacing w:before="0" w:after="240"/>
        <w:ind w:left="5040" w:right="0" w:hanging="0"/>
        <w:jc w:val="left"/>
        <w:rPr/>
      </w:pPr>
      <w:r>
        <w:rPr>
          <w:rFonts w:ascii="Times New Roman;Times;serif" w:hAnsi="Times New Roman;Times;serif"/>
          <w:color w:val="000000"/>
          <w:sz w:val="20"/>
          <w:bdr w:val="single" w:sz="8" w:space="12" w:color="000000"/>
        </w:rPr>
        <w:t>Before deciding to invest in shares of our common stock, you should read carefully the risks set forth under the caption “Risk Factors” beginning on page S-</w:t>
      </w:r>
      <w:hyperlink w:anchor="sRFS">
        <w:r>
          <w:rPr>
            <w:rStyle w:val="InternetLink"/>
          </w:rPr>
          <w:t>5</w:t>
        </w:r>
      </w:hyperlink>
      <w:r>
        <w:rPr>
          <w:rFonts w:ascii="Times New Roman;Times;serif" w:hAnsi="Times New Roman;Times;serif"/>
          <w:color w:val="000000"/>
          <w:sz w:val="20"/>
          <w:bdr w:val="single" w:sz="8" w:space="12" w:color="000000"/>
        </w:rPr>
        <w:t xml:space="preserve"> of this prospectus supplement and the risks described in sections of the documents incorporated by reference into this prospectus supplement captioned “Risk Factors.”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Transfer Agent and Registrar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Equiniti Trust Company, LLC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Nasdaq Capital Market symbol </w:t>
      </w:r>
    </w:p>
    <w:p>
      <w:pPr>
        <w:pStyle w:val="TextBody"/>
        <w:bidi w:val="0"/>
        <w:spacing w:before="0" w:after="240"/>
        <w:ind w:left="5040" w:right="0" w:hanging="0"/>
        <w:jc w:val="left"/>
        <w:rPr>
          <w:color w:val="000000"/>
          <w:bdr w:val="single" w:sz="8" w:space="12" w:color="000000"/>
        </w:rPr>
      </w:pPr>
      <w:r>
        <w:rPr>
          <w:color w:val="000000"/>
          <w:bdr w:val="single" w:sz="8" w:space="12" w:color="000000"/>
        </w:rPr>
        <w:t>“</w:t>
      </w:r>
      <w:r>
        <w:rPr>
          <w:rFonts w:ascii="Times New Roman;Times;serif" w:hAnsi="Times New Roman;Times;serif"/>
          <w:color w:val="000000"/>
          <w:sz w:val="20"/>
          <w:bdr w:val="single" w:sz="8" w:space="12" w:color="000000"/>
        </w:rPr>
        <w:t xml:space="preserve">VHC”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discussion above is based upon 4,196,009 shares of our common stock outstanding as of September 29, 2026 and excludes the following: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654,339 shares of common stock issuable upon the exercise of options to purchase shares of our common stock outstanding as of September 29, 2026, at a weighted-average exercise price of $39.25 per share;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1,185,183 shares of common stock reserved for future issuance under our Amended and Restated 2013 Equity Incentive Plan (the 2013 Plan), as of September 29, 2026. </w:t>
            </w:r>
          </w:p>
        </w:tc>
      </w:tr>
    </w:tbl>
    <w:p>
      <w:pPr>
        <w:pStyle w:val="TextBody"/>
        <w:bidi w:val="0"/>
        <w:spacing w:before="160" w:after="240"/>
        <w:ind w:left="6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Except as otherwise indicated, all information in this prospectus supplement assumes: </w:t>
      </w:r>
    </w:p>
    <w:tbl>
      <w:tblPr>
        <w:tblW w:w="8665" w:type="dxa"/>
        <w:jc w:val="left"/>
        <w:tblInd w:w="240" w:type="dxa"/>
        <w:tblLayout w:type="fixed"/>
        <w:tblCellMar>
          <w:top w:w="0" w:type="dxa"/>
          <w:left w:w="0" w:type="dxa"/>
          <w:bottom w:w="0" w:type="dxa"/>
          <w:right w:w="0" w:type="dxa"/>
        </w:tblCellMar>
      </w:tblPr>
      <w:tblGrid>
        <w:gridCol w:w="110"/>
        <w:gridCol w:w="8555"/>
      </w:tblGrid>
      <w:tr>
        <w:trPr/>
        <w:tc>
          <w:tcPr>
            <w:tcW w:w="110"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exercise or settlement of the outstanding stock options, RSUs or other equity awards described above; </w:t>
            </w:r>
          </w:p>
        </w:tc>
      </w:tr>
    </w:tbl>
    <w:tbl>
      <w:tblPr>
        <w:tblW w:w="7480" w:type="dxa"/>
        <w:jc w:val="left"/>
        <w:tblInd w:w="240" w:type="dxa"/>
        <w:tblLayout w:type="fixed"/>
        <w:tblCellMar>
          <w:top w:w="0" w:type="dxa"/>
          <w:left w:w="0" w:type="dxa"/>
          <w:bottom w:w="0" w:type="dxa"/>
          <w:right w:w="0" w:type="dxa"/>
        </w:tblCellMar>
      </w:tblPr>
      <w:tblGrid>
        <w:gridCol w:w="110"/>
        <w:gridCol w:w="7370"/>
      </w:tblGrid>
      <w:tr>
        <w:trPr/>
        <w:tc>
          <w:tcPr>
            <w:tcW w:w="110" w:type="dxa"/>
            <w:tcBorders/>
            <w:vAlign w:val="center"/>
          </w:tcPr>
          <w:p>
            <w:pPr>
              <w:pStyle w:val="TableContents"/>
              <w:bidi w:val="0"/>
              <w:spacing w:before="0" w:after="0"/>
              <w:jc w:val="left"/>
              <w:rPr>
                <w:color w:val="000000"/>
              </w:rPr>
            </w:pPr>
            <w:r>
              <w:rPr>
                <w:color w:val="000000"/>
              </w:rPr>
              <w:t>•</w:t>
            </w:r>
          </w:p>
        </w:tc>
        <w:tc>
          <w:tcPr>
            <w:tcW w:w="7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grant of additional awards under our 2013 Plan subsequent to September 29, 2026; and </w:t>
            </w:r>
          </w:p>
        </w:tc>
      </w:tr>
    </w:tbl>
    <w:tbl>
      <w:tblPr>
        <w:tblW w:w="6685" w:type="dxa"/>
        <w:jc w:val="left"/>
        <w:tblInd w:w="240" w:type="dxa"/>
        <w:tblLayout w:type="fixed"/>
        <w:tblCellMar>
          <w:top w:w="0" w:type="dxa"/>
          <w:left w:w="0" w:type="dxa"/>
          <w:bottom w:w="0" w:type="dxa"/>
          <w:right w:w="0" w:type="dxa"/>
        </w:tblCellMar>
      </w:tblPr>
      <w:tblGrid>
        <w:gridCol w:w="110"/>
        <w:gridCol w:w="6575"/>
      </w:tblGrid>
      <w:tr>
        <w:trPr/>
        <w:tc>
          <w:tcPr>
            <w:tcW w:w="110" w:type="dxa"/>
            <w:tcBorders/>
            <w:vAlign w:val="center"/>
          </w:tcPr>
          <w:p>
            <w:pPr>
              <w:pStyle w:val="TableContents"/>
              <w:bidi w:val="0"/>
              <w:spacing w:before="0" w:after="0"/>
              <w:jc w:val="left"/>
              <w:rPr>
                <w:color w:val="000000"/>
              </w:rPr>
            </w:pPr>
            <w:r>
              <w:rPr>
                <w:color w:val="000000"/>
              </w:rPr>
              <w:t>•</w:t>
            </w:r>
          </w:p>
        </w:tc>
        <w:tc>
          <w:tcPr>
            <w:tcW w:w="6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repurchase of shares of our common stock subsequent to September 29, 2026.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82832x1_424b5_105-risk_pg1"/>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 w:name="sRFS"/>
      <w:bookmarkEnd w:id="15"/>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An investment in the shares of our common stock involves a high degree of risk. Prior to making a decision about investing in shares of our common stock, you should carefully consider the risk factors discussed below, together with all of the other information contained or incorporated by reference in this prospectus supplement and the accompanying prospectus. You should also consider the risks, uncertainties and assumptions discussed under “Part I-Item 1A-Risk Factors” of our most recent Annual Report on Form 10-K and in “Part II-Item 1A-Risk Factors” in our most recent Quarterly Report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known or unknown risks might cause you to lose all or part of your investment in this offering.</w:t>
      </w:r>
      <w:r>
        <w:rPr>
          <w:rFonts w:ascii="Times New Roman;Times;serif" w:hAnsi="Times New Roman;Times;serif"/>
          <w:i/>
          <w:caps w:val="false"/>
          <w:smallCaps w:val="false"/>
          <w:color w:val="000000"/>
          <w:sz w:val="20"/>
        </w:rPr>
        <w:t xml:space="preserve">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this Offering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We will have broad discretion in the use of proceeds from this offering and our existing cash, and we may invest or spend the proceeds and such cash in ways with which you do not agree and in ways that may not yield a return.</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have broad discretion in the application of the net proceeds to us from this offering, including for any of the purposes described in the section of this prospectus supplement entitled “Use of Proceeds,” and our existing cash and cash equivalents and marketable securities. You may not agree with our decisions, and our use of the proceeds and our existing cash and cash equivalents and marketable securities may not improve our results of operations or enhance the value of our shares of common stock. You will be relying on the judgment of our management regarding the application of the proceeds of this offering. The results and effectiveness of the use of proceeds are uncertain, and we could spend the net proceeds in ways that you do not agree with or that do not improve our results of operations or enhance the value of our shares of common stock. Our failure to apply these funds effectively could have a material adverse effect on our business, financial condition, results of operations and prospects and cause the price of our shares of common stock to decline.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New investors in our shares of common stock may experience immediate and substantial dilution after this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Since the price you pay for our shares of common stock in this offering may be higher than the net tangible book value per share of common stock outstanding prior to this offering, you may suffer immediate and substantial dilution in the net tangible book value of the shares of common stock you purchase in this offering. See the section entitled “Dilution” below for a more detailed discussion of the dilution you will incur if you purchase shares in this offering.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You may experience future dilution as a result of future equity offerings.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to raise additional capital, we may in the future offer additional shares of our common stock or other securities convertible into or exchangeable for our common stock that could result in further dilution to the investor purchasing our common stock in this offering or result in downward pressure on the price of our common stock. We may sell shares of our common stock or other securities in any other offering at prices that are higher or lower than the prices paid by the investor in this offering, and the investor purchasing shares or other securities in the future could have rights superior to existing stockholders. Moreover, to the extent that we issue options or warrants to purchase, or securities convertible into or exchangeable for, shares of our common stock in the future and those options, warrants or other securities are exercised, converted or exchanged, stockholders may experience further dilution.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Future sales of substantial amounts of our common stock, or the possibility that such sales could occur, could adversely affect the market price of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and sell shares of our common stock having an aggregate offering price of up to $19,135,717 from time to time in this offering. The issuance and sale of shares from time to time in this offering, as well as our ability to issue such shares in this offering, could have the effect of depressing the market price or increasing the market price volatility of our common stock. This could impair our ability to raise capital through the sale of additional equity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82832x1_424b5_105-risk_pg2"/>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It is not possible to predict the actual number of shares we will sell under the Sales Agreement, or the gross proceeds resulting from those sales.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certain limitations in the Sales Agreement and compliance with applicable law, we have the discretion to deliver a placement notice to the Agent at any time throughout the term of the Sales Agreement. The number of shares that are sold through the Agent after we deliver a placement notice will fluctuate based on a number of factors, including the market price of our common stock during the sales period, the limits we set with the Agent in any applicable placement notice, and the demand for our common stock during the sales period. Because the price per share of each share sold will fluctuate during the sales period, it is not currently possible to predict the number of shares that will be sold or the gross proceeds to be raised in connection with those sales. Further, we are not obligated to sell any shares under the Sales Agreement, so you should not invest in our securities in reliance on the fact that we will actually raise new capital via the at the market offering covered by this prospectus supplement.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common stock offered hereby will be sold in an “at the market offering,” and investors who buy shares at different times will likely pay different prices.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 shares they purchase in this offering as a result of sales made at prices lower than the prices they paid.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trading price of our common stock has been, and is likely to continue to be, highly volatile and could be subject to wide fluctuations in response to various factors, some of which are beyond our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stock price is and may continue to be volatile and you may not be able to resell our securities at or above the price you paid. The market price for our common stock is volatile and may fluctuate significantly in response to a number of factors, most of which we cannot control. This volatility could harm your investment in our common stock and could result in your being unable to resell the common stock that you purchase at a price equal to or above the price you paid and you may lose some or all of your investment.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82832x1_424b5_106-fls_pg1"/>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 w:name="sFL"/>
      <w:bookmarkEnd w:id="18"/>
      <w:r>
        <w:rPr>
          <w:rFonts w:ascii="Times New Roman;Times;serif" w:hAnsi="Times New Roman;Times;serif"/>
          <w:b/>
          <w:color w:val="000000"/>
          <w:sz w:val="20"/>
        </w:rPr>
        <w:t xml:space="preserve">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supplement, the accompanying prospectus, and the information incorporated by reference herein and therein contain certain statements that constitute “forward-looking statements” within the meaning of Section 27A of the Securities Act and Section 21E of the Securities Exchange Act of 1934, as amended (the “Exchange Act”). The words “believe,” “may,” “will,” “estimate,” “continue,” “anticipate,” “intend,” “expect,” “could,” “would,” “project,” “plan,” “goal,” “potentially,” “likely,” and similar expressions and variations thereof are intended to identify forward-looking statements, but are not the exclusive means of identifying such statements. Those statements appear in this prospectus supplement, the accompanying prospectus, and the information incorporated by reference herein and therein by reference, particularly in the sections titled “Prospectus Supplement Summary,” “Risk Factors” and “Management’s Discussion and Analysis of Financial Condition and Results of Operations” and include statements regarding the intent, belief or current expectations of our Company and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 Factors that could cause or contribute to such differences include, but are not limited to those discussed in the documents incorporated by reference under the caption “Risk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supplement, the accompanying prospectus, any free writing prospectus that we have authorized for use in connection with this offering, and the information incorporated by reference herein and therein contain statements that are based on management’s current expectations and beliefs, including estimates and projections about our Company, industry, financial condition, results of operations and other matters. These statements are not guarantees of future performance and are subject to numerous risks, uncertainties, and assumptions that are difficult to predict.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supplement, whether as a result of any new information, future events or otherwise.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statements that “we believe” and similar statements reflect our beliefs and opinions on the relevant subject. These statements are based upon information available to us as of the date of this prospectus supplement,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supplement, the accompanying prospectus, and the information incorporated by reference herein and therein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supplement, actual results may differ from these projections.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82832x1_424b5_107-use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 w:name="sUP"/>
      <w:bookmarkEnd w:id="20"/>
      <w:r>
        <w:rPr>
          <w:rFonts w:ascii="Times New Roman;Times;serif" w:hAnsi="Times New Roman;Times;serif"/>
          <w:b/>
          <w:color w:val="000000"/>
          <w:sz w:val="20"/>
        </w:rPr>
        <w:t xml:space="preserve">USE OF PROCEEDS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and sell shares of our common stock having aggregate sales proceeds of up to $19,135,717 from time to time pursuant to this prospectus supplement. The amount of proceeds from this offering will depend upon the number of shares of our common stock sold, if any, and the market price at which they are sold. There can be no assurance that we will be able to sell any shares under, or fully utilize, the Sales Agreement with the Agent. After deducting commissions payable to the Agent and estimated offering expenses payable by us, we estimate that the net proceeds from the sale of all $19,135,717 of shares of common stock offered under this prospectus supplement, if sold in full, would be approximately $18.2 million.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currently expect to use the net proceeds that we receive from this offering, if any, for product development and marketing, and general corporate purposes, which may include working capital, capital expenditures, and corporate expenses. We may also use a portion of the net proceeds to acquire, license or invest in complementary products, technologies or businesses; however, we currently have no agreements or commitments to complete any such transaction. The timing and amount of our actual expenditures will be based on many factors, including cash flows from operations and the anticipated growth of our business, but the expected use of net proceeds of this offering represents our current intentions based on our present plans and business conditions. Pending these uses, we may invest the net proceeds of this offering in short- and intermediate-term, interest-bearing obligations, investment-grade instruments, certificates of deposit or direct or guaranteed obligations of the U.S. government.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prospectus supplement, we cannot specify with certainty all of the particular uses for the net proceeds to us from this offering. As a result, our management will have broad discretion regarding the timing and application of the net proceeds from this offering.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82832x1_424b5_107-use_pg2"/>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 w:name="sDP"/>
      <w:bookmarkEnd w:id="22"/>
      <w:r>
        <w:rPr>
          <w:rFonts w:ascii="Times New Roman;Times;serif" w:hAnsi="Times New Roman;Times;serif"/>
          <w:b/>
          <w:color w:val="000000"/>
          <w:sz w:val="20"/>
        </w:rPr>
        <w:t xml:space="preserve">DIVIDEND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expect for the foreseeable future to pay dividends on our common stock. Instead, we anticipate that all of our earnings, if any, in the foreseeable future will be used for working capital and other general corporate purposes. Any future determination to pay dividends on our common stock will be at the discretion of our board of directors and will depend upon, among other factors, our results of operations, financial condition, capital requirements and contractual restrictions.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82832x1_424b5_107-use_pg3"/>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 w:name="sDIL"/>
      <w:bookmarkEnd w:id="24"/>
      <w:r>
        <w:rPr>
          <w:rFonts w:ascii="Times New Roman;Times;serif" w:hAnsi="Times New Roman;Times;serif"/>
          <w:b/>
          <w:color w:val="000000"/>
          <w:sz w:val="20"/>
        </w:rPr>
        <w:t xml:space="preserve">DILUTION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invest in our common stock, your interest will be diluted immediately to the extent of the difference between the assumed offering price per share and the adjusted net tangible book value per share of our common stock after this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net tangible book value as of June 30, 2026 was approximately $15.1 million, or $3.57 per share. Net tangible book value per share is determined by dividing our total tangible assets, less total liabilities, by the number of shares of our common stock outstanding as of June 30, 2026.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giving effect to the assumed sale by us of shares of our common stock in the aggregate amount of $19,135,717 in this offering at an assumed offering price of $10.32 per share, which was the last reported sale price of our common stock on Nasdaq on September 29, 2026, and after deducting estimated commissions and offering expenses payable by us, our net tangible book value as of June 30, 2026 would have been approximately $15.1 million, or $3.57 per share of common stock. This represents an immediate increase in net tangible book value of $1.91 per share to our existing stockholders and an immediate dilution in net tangible book value of $4.84 per share to investors participating in this offering. The following table illustrates this dilution per share to investors participating in this offering: </w:t>
      </w:r>
    </w:p>
    <w:tbl>
      <w:tblPr>
        <w:tblW w:w="7190" w:type="dxa"/>
        <w:jc w:val="left"/>
        <w:tblInd w:w="0" w:type="dxa"/>
        <w:tblLayout w:type="fixed"/>
        <w:tblCellMar>
          <w:top w:w="0" w:type="dxa"/>
          <w:left w:w="0" w:type="dxa"/>
          <w:bottom w:w="0" w:type="dxa"/>
          <w:right w:w="0" w:type="dxa"/>
        </w:tblCellMar>
      </w:tblPr>
      <w:tblGrid>
        <w:gridCol w:w="5495"/>
        <w:gridCol w:w="140"/>
        <w:gridCol w:w="140"/>
        <w:gridCol w:w="485"/>
        <w:gridCol w:w="140"/>
        <w:gridCol w:w="140"/>
        <w:gridCol w:w="650"/>
      </w:tblGrid>
      <w:tr>
        <w:trPr/>
        <w:tc>
          <w:tcPr>
            <w:tcW w:w="54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r>
        <w:trPr/>
        <w:tc>
          <w:tcPr>
            <w:tcW w:w="54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Assumed offering price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$10.32 </w:t>
            </w:r>
          </w:p>
        </w:tc>
      </w:tr>
      <w:tr>
        <w:trPr/>
        <w:tc>
          <w:tcPr>
            <w:tcW w:w="54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tangible book value per share as of 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r>
      <w:tr>
        <w:trPr/>
        <w:tc>
          <w:tcPr>
            <w:tcW w:w="54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Increase per share attributable to new investors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54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tangible book value per share after giving effect to this 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r>
      <w:tr>
        <w:trPr/>
        <w:tc>
          <w:tcPr>
            <w:tcW w:w="54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Dilution per share to new investors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​4.84</w:t>
            </w:r>
          </w:p>
        </w:tc>
      </w:tr>
      <w:tr>
        <w:trPr/>
        <w:tc>
          <w:tcPr>
            <w:tcW w:w="54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above assumes, for illustrative purposes, that an aggregate of $19,135,717 of shares of our common stock are sold at a price of $10.32 per share, the last reported sale price of our common stock on Nasdaq on September 29, 2026, for aggregate net proceeds of $18.2 million. The shares sold in this offering, if any, will be sold from time to time at various prices. The information discussed above is illustrative only and will adjust based on the actual offering price, the actual number of shares of common stock sold in this offering, and other terms of this offering determined at pricing.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above discussion and table are based upon 4,217,203 shares of our common stock outstanding as of June 30, 2026 and excludes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685,339 shares of common stock issuable upon the exercise of options to purchase shares of our common stock outstanding as of June 30, 2026, at a weighted-average exercise price of $39.00 per share; and </w:t>
            </w:r>
          </w:p>
        </w:tc>
      </w:tr>
    </w:tbl>
    <w:tbl>
      <w:tblPr>
        <w:tblW w:w="8620" w:type="dxa"/>
        <w:jc w:val="left"/>
        <w:tblInd w:w="0" w:type="dxa"/>
        <w:tblLayout w:type="fixed"/>
        <w:tblCellMar>
          <w:top w:w="0" w:type="dxa"/>
          <w:left w:w="0" w:type="dxa"/>
          <w:bottom w:w="0" w:type="dxa"/>
          <w:right w:w="0" w:type="dxa"/>
        </w:tblCellMar>
      </w:tblPr>
      <w:tblGrid>
        <w:gridCol w:w="110"/>
        <w:gridCol w:w="8510"/>
      </w:tblGrid>
      <w:tr>
        <w:trPr/>
        <w:tc>
          <w:tcPr>
            <w:tcW w:w="110" w:type="dxa"/>
            <w:tcBorders/>
            <w:vAlign w:val="center"/>
          </w:tcPr>
          <w:p>
            <w:pPr>
              <w:pStyle w:val="TableContents"/>
              <w:bidi w:val="0"/>
              <w:spacing w:before="0" w:after="0"/>
              <w:jc w:val="left"/>
              <w:rPr>
                <w:color w:val="000000"/>
              </w:rPr>
            </w:pPr>
            <w:r>
              <w:rPr>
                <w:color w:val="000000"/>
              </w:rPr>
              <w:t>•</w:t>
            </w:r>
          </w:p>
        </w:tc>
        <w:tc>
          <w:tcPr>
            <w:tcW w:w="8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1,133,720 shares of common stock reserved for future issuance under our 2013 Plan, as of June 30, 2026.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extent that any of our outstanding options or RSUs are exercised or vest, we grant additional awards under our 2013 Plan, or we issue additional shares of common stock in the future, there may be further dilution.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82832x1_424b5_108-material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 w:name="sTAX"/>
      <w:bookmarkEnd w:id="26"/>
      <w:r>
        <w:rPr>
          <w:rFonts w:ascii="Times New Roman;Times;serif" w:hAnsi="Times New Roman;Times;serif"/>
          <w:b/>
          <w:color w:val="000000"/>
          <w:sz w:val="20"/>
        </w:rPr>
        <w:t xml:space="preserve">MATERIAL U.S. FEDERAL INCOME TAX CONSIDERATIONS FOR NON-U.S. HOLDERS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U.S. federal income tax consequences of the ownership and disposition of our common stock to non-U.S. holders (as defined below) who participate in this offering, but does not purport to be a complete analysis of all the potential tax considerations relating thereto. This summary is based upon the provisions of the Internal Revenue Code of 1986, as amended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any ruling from the Internal Revenue Service (the IRS) with respect to the statements made and the conclusions reached in the following summary, and there can be no assurance that the IRS or a court will agree with such statements and conclusions.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summary also does not address the tax considerations arising under the laws of any U.S. state or local, non-U.S. or other taxing jurisdiction or under U.S. federal non-income tax laws, such as gift and estate tax laws or under any applicable tax treaty. In addition, this discussion does not address any potential application of the Medicare contribution tax on net investment income, the alternative minimum tax or any tax considerations applicable to an investor’s particular circumstances or to investors that may be subject to special tax rules, including, without limitation: </w:t>
      </w:r>
    </w:p>
    <w:tbl>
      <w:tblPr>
        <w:tblW w:w="9955" w:type="dxa"/>
        <w:jc w:val="left"/>
        <w:tblInd w:w="0" w:type="dxa"/>
        <w:tblLayout w:type="fixed"/>
        <w:tblCellMar>
          <w:top w:w="0" w:type="dxa"/>
          <w:left w:w="0" w:type="dxa"/>
          <w:bottom w:w="0" w:type="dxa"/>
          <w:right w:w="0" w:type="dxa"/>
        </w:tblCellMar>
      </w:tblPr>
      <w:tblGrid>
        <w:gridCol w:w="110"/>
        <w:gridCol w:w="9845"/>
      </w:tblGrid>
      <w:tr>
        <w:trPr/>
        <w:tc>
          <w:tcPr>
            <w:tcW w:w="11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insurance companies, regulated investment companies, real estate investment trusts or other financial institutions; </w:t>
            </w:r>
          </w:p>
        </w:tc>
      </w:tr>
    </w:tbl>
    <w:tbl>
      <w:tblPr>
        <w:tblW w:w="5860" w:type="dxa"/>
        <w:jc w:val="left"/>
        <w:tblInd w:w="0" w:type="dxa"/>
        <w:tblLayout w:type="fixed"/>
        <w:tblCellMar>
          <w:top w:w="0" w:type="dxa"/>
          <w:left w:w="0" w:type="dxa"/>
          <w:bottom w:w="0" w:type="dxa"/>
          <w:right w:w="0" w:type="dxa"/>
        </w:tblCellMar>
      </w:tblPr>
      <w:tblGrid>
        <w:gridCol w:w="110"/>
        <w:gridCol w:w="5750"/>
      </w:tblGrid>
      <w:tr>
        <w:trPr/>
        <w:tc>
          <w:tcPr>
            <w:tcW w:w="11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organizations or accounts, or governmental organizations;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controlled foreign corporations, foreign controlled foreign corporations, passive foreign investment companies or corporations that accumulate earnings to avoid U.S. federal income tax; </w:t>
            </w:r>
          </w:p>
        </w:tc>
      </w:tr>
    </w:tbl>
    <w:tbl>
      <w:tblPr>
        <w:tblW w:w="1825" w:type="dxa"/>
        <w:jc w:val="left"/>
        <w:tblInd w:w="0" w:type="dxa"/>
        <w:tblLayout w:type="fixed"/>
        <w:tblCellMar>
          <w:top w:w="0" w:type="dxa"/>
          <w:left w:w="0" w:type="dxa"/>
          <w:bottom w:w="0" w:type="dxa"/>
          <w:right w:w="0" w:type="dxa"/>
        </w:tblCellMar>
      </w:tblPr>
      <w:tblGrid>
        <w:gridCol w:w="110"/>
        <w:gridCol w:w="1715"/>
      </w:tblGrid>
      <w:tr>
        <w:trPr/>
        <w:tc>
          <w:tcPr>
            <w:tcW w:w="110" w:type="dxa"/>
            <w:tcBorders/>
            <w:vAlign w:val="center"/>
          </w:tcPr>
          <w:p>
            <w:pPr>
              <w:pStyle w:val="TableContents"/>
              <w:bidi w:val="0"/>
              <w:spacing w:before="0" w:after="0"/>
              <w:jc w:val="left"/>
              <w:rPr>
                <w:color w:val="000000"/>
              </w:rPr>
            </w:pPr>
            <w:r>
              <w:rPr>
                <w:color w:val="000000"/>
              </w:rPr>
              <w:t>•</w:t>
            </w:r>
          </w:p>
        </w:tc>
        <w:tc>
          <w:tcPr>
            <w:tcW w:w="1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dealers in securities; </w:t>
            </w:r>
          </w:p>
        </w:tc>
      </w:tr>
    </w:tbl>
    <w:tbl>
      <w:tblPr>
        <w:tblW w:w="8935" w:type="dxa"/>
        <w:jc w:val="left"/>
        <w:tblInd w:w="0" w:type="dxa"/>
        <w:tblLayout w:type="fixed"/>
        <w:tblCellMar>
          <w:top w:w="0" w:type="dxa"/>
          <w:left w:w="0" w:type="dxa"/>
          <w:bottom w:w="0" w:type="dxa"/>
          <w:right w:w="0" w:type="dxa"/>
        </w:tblCellMar>
      </w:tblPr>
      <w:tblGrid>
        <w:gridCol w:w="110"/>
        <w:gridCol w:w="8825"/>
      </w:tblGrid>
      <w:tr>
        <w:trPr/>
        <w:tc>
          <w:tcPr>
            <w:tcW w:w="110" w:type="dxa"/>
            <w:tcBorders/>
            <w:vAlign w:val="center"/>
          </w:tcPr>
          <w:p>
            <w:pPr>
              <w:pStyle w:val="TableContents"/>
              <w:bidi w:val="0"/>
              <w:spacing w:before="0" w:after="0"/>
              <w:jc w:val="left"/>
              <w:rPr>
                <w:color w:val="000000"/>
              </w:rPr>
            </w:pPr>
            <w:r>
              <w:rPr>
                <w:color w:val="000000"/>
              </w:rPr>
              <w:t>•</w:t>
            </w:r>
          </w:p>
        </w:tc>
        <w:tc>
          <w:tcPr>
            <w:tcW w:w="8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that elect to use a mark-to-market method of tax accounting for their securities holdings;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that own, or are deemed to own, more than five percent of our common stock (except to the extent specifically set forth below); </w:t>
            </w:r>
          </w:p>
        </w:tc>
      </w:tr>
    </w:tbl>
    <w:tbl>
      <w:tblPr>
        <w:tblW w:w="4735" w:type="dxa"/>
        <w:jc w:val="left"/>
        <w:tblInd w:w="0" w:type="dxa"/>
        <w:tblLayout w:type="fixed"/>
        <w:tblCellMar>
          <w:top w:w="0" w:type="dxa"/>
          <w:left w:w="0" w:type="dxa"/>
          <w:bottom w:w="0" w:type="dxa"/>
          <w:right w:w="0" w:type="dxa"/>
        </w:tblCellMar>
      </w:tblPr>
      <w:tblGrid>
        <w:gridCol w:w="110"/>
        <w:gridCol w:w="4625"/>
      </w:tblGrid>
      <w:tr>
        <w:trPr/>
        <w:tc>
          <w:tcPr>
            <w:tcW w:w="11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former citizens or long-term residents of the 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hold our common stock as a position in a hedging transaction, “straddle,” “conversion transaction” or other risk reduction transaction or integrated investment;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do not hold our common stock as a capital asset within the meaning of Section 1221 of the Code (generally, a property held for investment purposes);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entities or arrangements treated as partnerships for U.S. federal income tax purposes and other pass-through entities (and investors therein);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subject to special tax accounting rules as a result of any item of gross income with respect to our common stock being taken into account in an applicable financial statement as defined in Section 451(b)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hold or receive our common stock pursuant to the exercise of any employee stock option or otherwise as compensation; or </w:t>
            </w:r>
          </w:p>
        </w:tc>
      </w:tr>
    </w:tbl>
    <w:tbl>
      <w:tblPr>
        <w:tblW w:w="7705" w:type="dxa"/>
        <w:jc w:val="left"/>
        <w:tblInd w:w="0" w:type="dxa"/>
        <w:tblLayout w:type="fixed"/>
        <w:tblCellMar>
          <w:top w:w="0" w:type="dxa"/>
          <w:left w:w="0" w:type="dxa"/>
          <w:bottom w:w="0" w:type="dxa"/>
          <w:right w:w="0" w:type="dxa"/>
        </w:tblCellMar>
      </w:tblPr>
      <w:tblGrid>
        <w:gridCol w:w="110"/>
        <w:gridCol w:w="7595"/>
      </w:tblGrid>
      <w:tr>
        <w:trPr/>
        <w:tc>
          <w:tcPr>
            <w:tcW w:w="110" w:type="dxa"/>
            <w:tcBorders/>
            <w:vAlign w:val="center"/>
          </w:tcPr>
          <w:p>
            <w:pPr>
              <w:pStyle w:val="TableContents"/>
              <w:bidi w:val="0"/>
              <w:spacing w:before="0" w:after="0"/>
              <w:jc w:val="left"/>
              <w:rPr>
                <w:color w:val="000000"/>
              </w:rPr>
            </w:pPr>
            <w:r>
              <w:rPr>
                <w:color w:val="000000"/>
              </w:rPr>
              <w:t>•</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deemed to sell our common stock under the constructive sale provisions of the Code.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if a partnership, including any entity or arrangement, domestic or foreign, classified as a partnership for U.S. federal income tax purposes, holds our common stock, the tax treatment of a partner generally will depend on the status of the partner and the activities of the partnership. Accordingly, partnerships that hold our common stock, and partners in such partnerships, should consult their tax advisors.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82832x1_424b5_108-material_pg2"/>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U.S. state or local, non-U.S. or other taxing jurisdiction, or under any applicable tax treaty.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Non-U.S. Holder Defined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the term non-U.S. holder means a beneficial owner of our common stock that is not a partnership (or entity or arrangement treated as a partnership for U.S. federal income tax purposes) and is not, for U.S. federal income tax purposes, any of the following: </w:t>
      </w:r>
    </w:p>
    <w:tbl>
      <w:tblPr>
        <w:tblW w:w="4420" w:type="dxa"/>
        <w:jc w:val="left"/>
        <w:tblInd w:w="0" w:type="dxa"/>
        <w:tblLayout w:type="fixed"/>
        <w:tblCellMar>
          <w:top w:w="0" w:type="dxa"/>
          <w:left w:w="0" w:type="dxa"/>
          <w:bottom w:w="0" w:type="dxa"/>
          <w:right w:w="0" w:type="dxa"/>
        </w:tblCellMar>
      </w:tblPr>
      <w:tblGrid>
        <w:gridCol w:w="110"/>
        <w:gridCol w:w="4310"/>
      </w:tblGrid>
      <w:tr>
        <w:trPr/>
        <w:tc>
          <w:tcPr>
            <w:tcW w:w="110" w:type="dxa"/>
            <w:tcBorders/>
            <w:vAlign w:val="center"/>
          </w:tcPr>
          <w:p>
            <w:pPr>
              <w:pStyle w:val="TableContents"/>
              <w:bidi w:val="0"/>
              <w:spacing w:before="0" w:after="0"/>
              <w:jc w:val="left"/>
              <w:rPr>
                <w:color w:val="000000"/>
              </w:rPr>
            </w:pPr>
            <w:r>
              <w:rPr>
                <w:color w:val="000000"/>
              </w:rPr>
              <w:t>•</w:t>
            </w:r>
          </w:p>
        </w:tc>
        <w:tc>
          <w:tcPr>
            <w:tcW w:w="4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U.S.; </w:t>
            </w:r>
          </w:p>
        </w:tc>
      </w:tr>
    </w:tbl>
    <w:tbl>
      <w:tblPr>
        <w:tblW w:w="9850" w:type="dxa"/>
        <w:jc w:val="left"/>
        <w:tblInd w:w="0" w:type="dxa"/>
        <w:tblLayout w:type="fixed"/>
        <w:tblCellMar>
          <w:top w:w="0" w:type="dxa"/>
          <w:left w:w="0" w:type="dxa"/>
          <w:bottom w:w="0" w:type="dxa"/>
          <w:right w:w="0" w:type="dxa"/>
        </w:tblCellMar>
      </w:tblPr>
      <w:tblGrid>
        <w:gridCol w:w="110"/>
        <w:gridCol w:w="9740"/>
      </w:tblGrid>
      <w:tr>
        <w:trPr/>
        <w:tc>
          <w:tcPr>
            <w:tcW w:w="110" w:type="dxa"/>
            <w:tcBorders/>
            <w:vAlign w:val="center"/>
          </w:tcPr>
          <w:p>
            <w:pPr>
              <w:pStyle w:val="TableContents"/>
              <w:bidi w:val="0"/>
              <w:spacing w:before="0" w:after="0"/>
              <w:jc w:val="left"/>
              <w:rPr>
                <w:color w:val="000000"/>
              </w:rPr>
            </w:pPr>
            <w:r>
              <w:rPr>
                <w:color w:val="000000"/>
              </w:rPr>
              <w:t>•</w:t>
            </w:r>
          </w:p>
        </w:tc>
        <w:tc>
          <w:tcPr>
            <w:tcW w:w="9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created or organized in the U.S. or under the laws of the U.S., any state thereof or the District of Columbia; </w:t>
            </w:r>
          </w:p>
        </w:tc>
      </w:tr>
    </w:tbl>
    <w:tbl>
      <w:tblPr>
        <w:tblW w:w="7165" w:type="dxa"/>
        <w:jc w:val="left"/>
        <w:tblInd w:w="0" w:type="dxa"/>
        <w:tblLayout w:type="fixed"/>
        <w:tblCellMar>
          <w:top w:w="0" w:type="dxa"/>
          <w:left w:w="0" w:type="dxa"/>
          <w:bottom w:w="0" w:type="dxa"/>
          <w:right w:w="0" w:type="dxa"/>
        </w:tblCellMar>
      </w:tblPr>
      <w:tblGrid>
        <w:gridCol w:w="110"/>
        <w:gridCol w:w="7055"/>
      </w:tblGrid>
      <w:tr>
        <w:trPr/>
        <w:tc>
          <w:tcPr>
            <w:tcW w:w="110" w:type="dxa"/>
            <w:tcBorders/>
            <w:vAlign w:val="center"/>
          </w:tcPr>
          <w:p>
            <w:pPr>
              <w:pStyle w:val="TableContents"/>
              <w:bidi w:val="0"/>
              <w:spacing w:before="0" w:after="0"/>
              <w:jc w:val="left"/>
              <w:rPr>
                <w:color w:val="000000"/>
              </w:rPr>
            </w:pPr>
            <w:r>
              <w:rPr>
                <w:color w:val="000000"/>
              </w:rPr>
              <w:t>•</w:t>
            </w:r>
          </w:p>
        </w:tc>
        <w:tc>
          <w:tcPr>
            <w:tcW w:w="7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whose income is subject to U.S. federal income tax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(x) the administration of which is subject to the primary supervision of a U.S. court and that has one or more U.S. persons who have the authority to control all substantial decisions of the trust or (y) that has made an election under applicable Treasury Regulations to be treated as a U.S. person. </w:t>
            </w:r>
          </w:p>
        </w:tc>
      </w:tr>
    </w:tbl>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Distributions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described under “Dividend Policy,” above, we do not anticipate paying dividends to holders of our common stock in the foreseeable future. However, if we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be treated as a return of capital and will first reduce your basis in our common stock (determined separately with respect to each share of our common stock), but not below zero, and any remaining excess will be treated as capital gain from the sale of that stock (as described below under “Gain on Sale or Other Disposition of Common Stock”). Any such distributions will also be subject to the discussions below under the sections titled “Backup Withholding and Information Reporting” and “Foreign Account Tax Compliance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discussion below on effectively connected income, any dividend paid to you generally will be subject to U.S. federal withholding tax either at a rate of 30% of the gross amount of the dividend or such lower rate as may be specified by an applicable income tax treaty between the U.S. and your country of residence. In order to receive a reduced treaty rate, you must provide us or our paying agent or another applicable withholding agent with an IRS Form W-8BEN or IRS Form W-8BEN-E (including, if required, a non-U.S. or U.S. taxpayer identification number) or other appropriate version of IRS Form W-8 certifying qualification for the reduced rate. Under applicable Treasury Regulations, we (or the applicable withholding agent) may withhold up to 30% of the gross amount of the entire distribution even if the amount constituting a dividend, as described above, is less than the gross amount. You may obtain a refund of any excess amounts withheld by timely filing an appropriate claim for refund with the IRS. If you hold our common stock through a financial institution or other agent acting on your behalf, you will be required to provide appropriate documentation to the agent, who then will be required to provide the required certification to us or our paying agent or another applicable withholding agent, either directly or through other intermediaries. You should consult your tax advisor regarding your entitlement to benefits under any applicable income tax treaty. If you are eligible for a reduced rate of withholding tax pursuant to an income tax treaty between the U.S. and your country of residence, you may be able to obtain a refund of any excess amounts currently withheld if you timely file an appropriate claim for refund with the IRS.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Dividends received by you that are effectively connected with your conduct of a U.S. trade or business (and, if an income tax treaty applies, are attributable to a permanent establishment or fixed base maintained by you in the U.S.) are includible in your gross income in the taxable year received, and are generally exempt from such withholding tax, subject to the discussions below under the sections titled “Backup Withholding and Information Reporting” and “Foreign Account Tax Compliance Act.” In order to obtain this exemption, you must provide us or our paying agent or another applicable withholding agent with an IRS Form W-8ECI properly certifying such exemption. Such effectively connected dividends, although not subject to U.S. federal withholding tax, are taxed at the same federal income tax rates applicable to U.S. persons, net of certain deductions and credits, subject to 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82832x1_424b5_108-material_pg3"/>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applicable income tax treaty providing otherwise. In addition, if you are a corporate non-U.S. holder, dividends you receive that are effectively connected with your conduct of a U.S. trade or business (and, if an income tax treaty applies, are attributable to a permanent establishment or fixed base maintained by you in the U.S.) may also be subject to a branch profits tax at a rate of 30% or such lower rate as may be specified by an applicable income tax treaty. You should consult your tax advisor regarding any applicable tax treaties that may provide for different rules.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Gain on Sale or Other Disposition of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discussion under the section titled “Backup Withholding and Information Reporting” below, you generally will not be required to pay U.S. federal income tax on any gain realized upon the sale or other disposition of our common stock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gain is effectively connected with your conduct of a U.S. trade or business (and, if an income tax treaty applies, the gain is attributable to a permanent establishment or fixed base maintained by you in the U.S.), in which case you will be required to pay tax on the net gain derived from the sale under regular U.S. federal income tax rates, and if you are a non-U.S. holder that is a corporation, you may be subject to the branch profits tax at a 30% rate on such effectively connected gain or such lower rate as may be specified by an applicable income tax treaty;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are an individual who is present in the U.S. for a period or periods aggregating 183 days or more during the calendar year in which the sale or disposition occurs and certain other conditions are met, in which case you will be required to pay a flat 30% tax (or such lower rate specified by an applicable income tax treaty) on the gain derived from the sale, which gain may be offset by certain U.S. source capital losses (even though you are not considered a resident of the U.S.); provided that you have timely filed U.S. federal income tax returns with respect to such losses;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will constitute a “U.S. real property interest” by reason of our status as a “U.S. real property holding corporation” for U.S. federal income tax purposes (a “USRPHC”) at any time within the shorter of the five-year period preceding the disposition of, or your holding period for, our common stock. We believe that we are not currently, and will not become, a USRPHC and the remainder of this discussion so assumes. However, because the determination of whether we are a USRPHC depends on the fair market value of our U.S. real property interests relative to the fair market value of our U.S. and worldwide real property interests and our other assets held for use in a trade or business, there can be no assurance that we will not become a USRPHC in the future. Even if we become a USRPHC, however, as long as our common stock is “regularly traded,” as defined by applicable Treasury regulations, on an established securities market during the calendar year in which the sale or disposition occurs, such common stock will be treated as a U.S. real property interest only if you actually or constructively hold more than five percent of such regularly traded common stock at any time during the applicable period previously described. You are encouraged to consult your own tax advisor regarding the possible consequences to you if we are, or were to become, a USRPHC.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Backup Withholding and Information Reporting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Generally, we or the applicable paying agent, or another applicable withholding agent, must report annually to the IRS the amount of any distributions (whether or not they constitute dividends for U.S. federal income tax purposes) paid to you, your name and address, and the amount of tax withheld, if any. A similar report will be sent to you. Pursuant to applicable income tax treaties or other agreements, the IRS may make these reports available to tax authorities in your country of residence.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Payments of dividends or of proceeds on the disposition of common stock made to you may be subject to additional information reporting and backup withholding at a current rate of 24% unless you establish an exemption, for example by properly certifying your non-U.S. status on an IRS Form W-8BEN, IRS Form W-8BEN-E (or another appropriate version of IRS Form W-8) or you otherwise meet the documentary evidence requirements for establishing that you are not a U.S. person. Notwithstanding the foregoing, backup withholding and information reporting may apply if either we or our paying agent, or another applicable withholding agent, has actual knowledge, or reason to know, that you are a U.S. person.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82832x1_424b5_108-material_pg4"/>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Foreign Account Tax Compliance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Foreign Account Tax Compliance Act, Treasury regulations issued thereunder and administrative guidance (collectively, “FATCA”) generally imposes a U.S. federal withholding tax of 30% on any dividends paid and, subject to the proposed Treasury regulations discussed below, the gross proceeds of a sale or other disposition of our common stock paid to (i) a “foreign financial institution” (as specially defined under these rules), whether such foreign financial institution is the beneficial owner or an intermediary, unless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or otherwise establishes an exemption, or (ii) a “non-financial foreign entity,” (as specially defined under these rules), whether such non-financial foreign entity is the beneficial owner or an intermediary, unless otherwise provided by the Treasury Secretary or such entity provides a certification that the beneficial owner of the payment does not have any substantial U.S. owners, provides the withholding agent with a certification identifying the direct and indirect U.S. owners of the entity or otherwise establishes an exemption.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withholding obligations under FATCA generally apply to dividends on our common stock. The U.S. Department of the Treasury has issued proposed regulations, which may be relied upon by taxpayers until final regulations are issued, providing that, if finalized in their present form, the withholding provisions under FATCA do not apply with respect to payment of gross proceeds of a sale or other disposition of our common stock. The withholding tax will apply regardless of whether the payment otherwise would be exempt from U.S. nonresident and backup withholding tax, including under the other exemptions described above. Under certain circumstances, a non-U.S. holder might be eligible for refunds or credits of such taxes from the IRS, provided that the required information is furnished to the IRS in a timely manner. In certain cases, the relevant foreign financial institution or non-financial foreign entity may qualify for an exemption from, or be deemed to be in compliance with, these rules. If the country in which the payee is resident has entered into an “intergovernmental agreement” with the U.S. regarding FATCA, the payee may be permitted to report to that country instead of the U.S., and the intergovernmental agreement may otherwise modify the requirements described in this section. Prospective investors are encouraged to consult with their own tax advisors regarding the possible implications of FATCA on their investment in our common stock.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preceding discussion of U.S. federal income tax considerations is for general information only. It is not tax advice. Each prospective investor should consult their own tax advisor regarding the particular U.S. federal, state and local and non-U.S. tax consequences of purchasing, holding and disposing of our common stock, including the consequences of any proposed change in applicable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82832x1_424b5_109-plan_pg1"/>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1" w:name="sPD"/>
      <w:bookmarkEnd w:id="31"/>
      <w:r>
        <w:rPr>
          <w:rFonts w:ascii="Times New Roman;Times;serif" w:hAnsi="Times New Roman;Times;serif"/>
          <w:b/>
          <w:color w:val="000000"/>
          <w:sz w:val="20"/>
        </w:rPr>
        <w:t xml:space="preserve">PLAN OF DISTRIBUTION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entered into the Sales Agreement, dated as of October 1, 2026, with Titan Partners Securities LLC (the Agent), as sales agent, under which we may issue and sell shares of our common stock having an aggregate offering price of up to $19,135,717 from time to time through the Agent. In no event will the actual number of shares of common stock offered and sold by us pursuant to the Sales Agreement exceed the number of shares that we have available and authorized for issuance under our certificate of incorporation.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Sales Agreement provides that sales of our common stock, if any, under this prospectus supplement may be made in sales deemed to be “at the market offerings” as defined in Rule 415(a)(4) under the Securities Act, including sales made directly on or through Nasdaq, the existing trading market for our common stock, or any other existing trading market in the United States for our common stock, sales made to or through a market maker other than on an exchange or otherwise, directly to the Agent as principal, in privately negotiated transactions at market prices prevailing at the time of sale or at prices related to such prevailing market prices, in block transactions and/or in any other method permitted by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Agent will offer our common stock at prevailing market prices subject to the terms and conditions of the Sales Agreement as agreed upon by us and the Agent. We will designate the number of shares which we desire to sell, the time period during which sales are requested to be made, any limitation on the number of shares that may be sold in one day and any minimum price below which sales may not be made. Subject to the terms and conditions of the Sales Agreement, the Agent will use its commercially reasonable efforts consistent with its normal trading and sales practices and applicable state and federal laws and regulations and the rules of Nasdaq to sell on our behalf all of the shares requested to be sold by us. We or the Agent may suspend the offering of shares of common stock being made through the Agent under the Sales Agreement at any time upon proper notice to the other party. The Agent is not required to sell any specific number or dollar amount of shares of our common stock but will use its commercially reasonable efforts, consistent with its normal trading and sales practices, to sell the shares requested to be sold by us on the terms and subject to the conditions set forth in the Sales Agreement. There is no arrangement for funds to be received in an escrow, trust or similar arrangement.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Settlement for sales of our common stock will occur on the first trading day, or such other settlement cycle as may be in effect under Exchange Act Rule 15c6-1 from time to time, following the date on which any sales are made, in return for payment of the net proceeds to us. Sales of our common stock as contemplated in this prospectus supplement and the accompanying prospectus will be settled through the facilities of The Depository Trust Company or by such other means as we and the Agent may agree upon. There is no arrangement for funds to be received in an escrow, trust or similar arrangement.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pay the Agent a cash commission of 3% of the gross sales price of common stock that the Agent sells pursuant to the Sales Agreement. Because there is no minimum offering amount required as a condition to this offering, the actual total offering amount, commissions and proceeds to us, if any, are not determinable at this time. We estimate that our total offering expenses for this offering, excluding compensation payable to the Agent under the Sales Agreement, will be approximately $347,000. We have also agreed to reimburse the Agent for certain expenses, including the reasonable and documented out-of-pocket costs and expenses (including legal fees and expenses) of the Agent’s counsel, in an amount not to exceed $50,000. In addition, we have agreed to reimburse the Agent for fees and disbursements related to its legal counsel in an amount of up to a maximum of $5,000 per due diligence update session conducted in connection with each Representation Date (as defined in the Sales Agreement), provided that such payment shall not exceed $20,000 in any fiscal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sale of our common stock on our behalf, the Agent will be deemed to be an “underwriter” within the meaning of the Securities Act, and the compensation paid to the Agent will be deemed to be underwriting commissions or discounts. We have agreed in the Sales Agreement to provide indemnification and contribution to the Agent against certain liabilities, including liabilities under the Securities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offering of shares of our common stock pursuant to this prospectus will terminate upon the earlier of (1) the sale of all shares of common stock provided for in this prospectus or (2) termination of the Sales Agreement as permitted therein. We may terminate the Sales Agreement in our sole discretion at any time by giving five days’ prior notice to the Agent. The Agent may terminate the Sales Agreement under the circumstances specified in the Sales Agreement and in its sole discretion at any time by giving five days’ prior notice to 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extent required by Regulation M, the Agent will not engage in any market making activities or stabilizing activities involving our common stock while the offering is ongoing under this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82832x1_424b5_109-plan_pg2"/>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Agent and its affiliates may in the future provide various investment banking and other financial services for us and our affiliates, for which services they may in the future receive customary fees. The Agent and its affiliates may also make investment recommendations and/or publish or express independent research views in respect of our securities or financial instruments and may hold, or recommend to clients that they acquire, long and/or short positions in such securities and instruments.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supplement may be made available in electronic format on a website maintained by the Agent, and the Agent may distribute this prospectus supplement electronically.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Capital Market under the symbol “VHC.”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does not purport to be a complete statement of the terms and conditions of the Sales Agreement. A copy of the Sales Agreement is filed as an exhibit to the registration statement of which this prospectus supplement forms a part and is incorporated by reference in this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82832x1_424b5_110-legal_pg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 w:name="sLMS"/>
      <w:bookmarkEnd w:id="34"/>
      <w:r>
        <w:rPr>
          <w:rFonts w:ascii="Times New Roman;Times;serif" w:hAnsi="Times New Roman;Times;serif"/>
          <w:b/>
          <w:color w:val="000000"/>
          <w:sz w:val="20"/>
        </w:rPr>
        <w:t xml:space="preserve">LEGAL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validity of the common stock offered hereby will be passed upon for us by Wilson Sonsini Goodrich &amp; Rosati, Professional Corporation, Palo Alto, California. Certain legal matters will be passed upon for the Agent by Sullivan &amp; Worcester LLP, New York, New York. </w:t>
      </w:r>
    </w:p>
    <w:p>
      <w:pPr>
        <w:pStyle w:val="TextBody"/>
        <w:bidi w:val="0"/>
        <w:spacing w:before="380" w:after="283"/>
        <w:jc w:val="center"/>
        <w:rPr>
          <w:rFonts w:ascii="Times New Roman;Times;serif" w:hAnsi="Times New Roman;Times;serif"/>
          <w:b/>
          <w:color w:val="000000"/>
          <w:sz w:val="20"/>
        </w:rPr>
      </w:pPr>
      <w:bookmarkStart w:id="35" w:name="sEX"/>
      <w:bookmarkEnd w:id="35"/>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consolidated financial statements appearing in our Annual Report on Form 10-K for the year ended December 31, 2025, have been audited by Farber Hass Hurley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380" w:after="283"/>
        <w:jc w:val="center"/>
        <w:rPr>
          <w:rFonts w:ascii="Times New Roman;Times;serif" w:hAnsi="Times New Roman;Times;serif"/>
          <w:b/>
          <w:color w:val="000000"/>
          <w:sz w:val="20"/>
        </w:rPr>
      </w:pPr>
      <w:bookmarkStart w:id="36" w:name="sWYI"/>
      <w:bookmarkEnd w:id="36"/>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proxy statements and other information with the SEC. Our SEC filings are available to the public over the Internet at the SEC’s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Copies of certain information filed by us with the SEC are also available on our website at </w:t>
      </w:r>
      <w:r>
        <w:rPr>
          <w:rFonts w:ascii="Times New Roman;Times;serif" w:hAnsi="Times New Roman;Times;serif"/>
          <w:i/>
          <w:color w:val="000000"/>
          <w:sz w:val="20"/>
        </w:rPr>
        <w:t>https://virnetx.com/</w:t>
      </w:r>
      <w:r>
        <w:rPr>
          <w:rFonts w:ascii="Times New Roman;Times;serif" w:hAnsi="Times New Roman;Times;serif"/>
          <w:color w:val="000000"/>
          <w:sz w:val="20"/>
        </w:rPr>
        <w:t xml:space="preserve">. Information accessible on or through our website is not a part of this prospectus supplement or the accompanying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supplement and the accompanying prospectus are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supplement forms a part or under cover of a Current Report on Form 8-K and incorporated in this prospectus supplement by reference. Statements in this prospectus supplement and the accompanying prospectus about these documents are summaries and each statement is qualified in all respects by reference to the document to which it refers. You should read the actual documents for a more complete description of the relevant matters. </w:t>
      </w:r>
    </w:p>
    <w:p>
      <w:pPr>
        <w:pStyle w:val="TextBody"/>
        <w:bidi w:val="0"/>
        <w:spacing w:before="380" w:after="283"/>
        <w:jc w:val="center"/>
        <w:rPr>
          <w:rFonts w:ascii="Times New Roman;Times;serif" w:hAnsi="Times New Roman;Times;serif"/>
          <w:b/>
          <w:color w:val="000000"/>
          <w:sz w:val="20"/>
        </w:rPr>
      </w:pPr>
      <w:bookmarkStart w:id="37" w:name="sIR"/>
      <w:bookmarkEnd w:id="37"/>
      <w:r>
        <w:rPr>
          <w:rFonts w:ascii="Times New Roman;Times;serif" w:hAnsi="Times New Roman;Times;serif"/>
          <w:b/>
          <w:color w:val="000000"/>
          <w:sz w:val="20"/>
        </w:rPr>
        <w:t xml:space="preserve">INCORPORATION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after the date of the initial registration statement of which this prospectus supplement forms a part and prior to the effectiveness of the registration statement, as well as subsequent to the effectiveness of the registration statement, until the offering of the securities under the registration statement of which this prospectus supplement forms a part is terminated or completed: </w:t>
      </w:r>
    </w:p>
    <w:tbl>
      <w:tblPr>
        <w:tblW w:w="9205" w:type="dxa"/>
        <w:jc w:val="left"/>
        <w:tblInd w:w="0" w:type="dxa"/>
        <w:tblLayout w:type="fixed"/>
        <w:tblCellMar>
          <w:top w:w="0" w:type="dxa"/>
          <w:left w:w="0" w:type="dxa"/>
          <w:bottom w:w="0" w:type="dxa"/>
          <w:right w:w="0" w:type="dxa"/>
        </w:tblCellMar>
      </w:tblPr>
      <w:tblGrid>
        <w:gridCol w:w="110"/>
        <w:gridCol w:w="9095"/>
      </w:tblGrid>
      <w:tr>
        <w:trPr/>
        <w:tc>
          <w:tcPr>
            <w:tcW w:w="110" w:type="dxa"/>
            <w:tcBorders/>
            <w:vAlign w:val="center"/>
          </w:tcPr>
          <w:p>
            <w:pPr>
              <w:pStyle w:val="TableContents"/>
              <w:bidi w:val="0"/>
              <w:spacing w:before="0" w:after="0"/>
              <w:jc w:val="left"/>
              <w:rPr>
                <w:color w:val="000000"/>
              </w:rPr>
            </w:pPr>
            <w:r>
              <w:rPr>
                <w:color w:val="000000"/>
              </w:rPr>
              <w:t>•</w:t>
            </w:r>
          </w:p>
        </w:tc>
        <w:tc>
          <w:tcPr>
            <w:tcW w:w="9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Annual Report on </w:t>
            </w:r>
            <w:hyperlink r:id="rId3">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year ended December 31, 2025, filed with the SEC on March 24,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information incorporated by reference into our Annual Report on Form 10-K for the year ended December 31, 2025 from our Definitive Proxy Statement on </w:t>
            </w:r>
            <w:hyperlink r:id="rId4">
              <w:r>
                <w:rPr>
                  <w:rStyle w:val="InternetLink"/>
                  <w:rFonts w:ascii="Times New Roman;Times;serif" w:hAnsi="Times New Roman;Times;serif"/>
                  <w:color w:val="000080"/>
                  <w:sz w:val="20"/>
                </w:rPr>
                <w:t>Schedule 14A</w:t>
              </w:r>
            </w:hyperlink>
            <w:r>
              <w:rPr>
                <w:rFonts w:ascii="Times New Roman;Times;serif" w:hAnsi="Times New Roman;Times;serif"/>
                <w:color w:val="000000"/>
                <w:sz w:val="20"/>
              </w:rPr>
              <w:t xml:space="preserve">, filed with the SEC on April 24,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Quarterly Reports on Form 10-Q for the quarters ended </w:t>
            </w:r>
            <w:hyperlink r:id="rId5">
              <w:r>
                <w:rPr>
                  <w:rStyle w:val="InternetLink"/>
                  <w:rFonts w:ascii="Times New Roman;Times;serif" w:hAnsi="Times New Roman;Times;serif"/>
                  <w:color w:val="000080"/>
                  <w:sz w:val="20"/>
                </w:rPr>
                <w:t>March 31, 2026</w:t>
              </w:r>
            </w:hyperlink>
            <w:r>
              <w:rPr>
                <w:rFonts w:ascii="Times New Roman;Times;serif" w:hAnsi="Times New Roman;Times;serif"/>
                <w:color w:val="000000"/>
                <w:sz w:val="20"/>
              </w:rPr>
              <w:t xml:space="preserve"> and </w:t>
            </w:r>
            <w:hyperlink r:id="rId6">
              <w:r>
                <w:rPr>
                  <w:rStyle w:val="InternetLink"/>
                  <w:rFonts w:ascii="Times New Roman;Times;serif" w:hAnsi="Times New Roman;Times;serif"/>
                  <w:color w:val="000080"/>
                  <w:sz w:val="20"/>
                </w:rPr>
                <w:t>June 30, 2026</w:t>
              </w:r>
            </w:hyperlink>
            <w:r>
              <w:rPr>
                <w:rFonts w:ascii="Times New Roman;Times;serif" w:hAnsi="Times New Roman;Times;serif"/>
                <w:color w:val="000000"/>
                <w:sz w:val="20"/>
              </w:rPr>
              <w:t xml:space="preserve">, filed with the SEC on May 15, 2026 and August 14, 2026, respectively;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82832x1_424b5_110-legal_pg2"/>
        <w:bookmarkEnd w:id="3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Current Report on Form 8-K filed with the SEC on </w:t>
            </w:r>
            <w:hyperlink r:id="rId7">
              <w:r>
                <w:rPr>
                  <w:rStyle w:val="InternetLink"/>
                  <w:rFonts w:ascii="Times New Roman;Times;serif" w:hAnsi="Times New Roman;Times;serif"/>
                  <w:color w:val="000080"/>
                  <w:sz w:val="20"/>
                </w:rPr>
                <w:t>June 16, 2026</w:t>
              </w:r>
            </w:hyperlink>
            <w:r>
              <w:rPr>
                <w:rFonts w:ascii="Times New Roman;Times;serif" w:hAnsi="Times New Roman;Times;serif"/>
                <w:color w:val="000000"/>
                <w:sz w:val="20"/>
              </w:rPr>
              <w:t xml:space="preserve"> (other than information furnished rather than filed);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description of our common stock contained in the Registration Statement on </w:t>
            </w:r>
            <w:hyperlink r:id="rId8">
              <w:r>
                <w:rPr>
                  <w:rStyle w:val="InternetLink"/>
                  <w:rFonts w:ascii="Times New Roman;Times;serif" w:hAnsi="Times New Roman;Times;serif"/>
                  <w:color w:val="000080"/>
                  <w:sz w:val="20"/>
                </w:rPr>
                <w:t>Form 8-A</w:t>
              </w:r>
            </w:hyperlink>
            <w:r>
              <w:rPr>
                <w:rFonts w:ascii="Times New Roman;Times;serif" w:hAnsi="Times New Roman;Times;serif"/>
                <w:color w:val="000000"/>
                <w:sz w:val="20"/>
              </w:rPr>
              <w:t xml:space="preserve"> relating thereto, filed with the SEC on September 22, 2025, including any amendment or report filed for the purpose of updating such description.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request a copy of these filings, at no cost, by writing or telephoning us at the following address and telephone number: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VirnetX Holding Corporation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308 Dorla Court, Suite 206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Zephyr Cove, Nevada 89448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Attn: Investor Relations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(775) 548-1785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82832x1_424b5_201-cov_pg1"/>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71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PROSPECTUS </w:t>
      </w:r>
    </w:p>
    <w:p>
      <w:pPr>
        <w:pStyle w:val="TextBody"/>
        <w:bidi w:val="0"/>
        <w:spacing w:before="285" w:after="283"/>
        <w:jc w:val="center"/>
        <w:rPr>
          <w:color w:val="000000"/>
        </w:rPr>
      </w:pPr>
      <w:r>
        <w:rPr>
          <w:color w:val="000000"/>
        </w:rPr>
        <w:drawing>
          <wp:inline distT="0" distB="0" distL="0" distR="0">
            <wp:extent cx="2076450" cy="1085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2076450" cy="10858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8"/>
        </w:rPr>
      </w:pPr>
      <w:r>
        <w:rPr>
          <w:rFonts w:ascii="Times New Roman;Times;serif" w:hAnsi="Times New Roman;Times;serif"/>
          <w:b/>
          <w:color w:val="000000"/>
          <w:sz w:val="28"/>
        </w:rPr>
        <w:t>VirnetX Holding Corporation</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$20,000,000</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Debt Securities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Depositary Shares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Warrants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Subscription Rights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Purchase Contracts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We may offer and sell from time to time, in one or more series or issuances and on terms that we will determine at the time of the offering, any combination of the securities described in this prospectus, up to an aggregate amount of $20,000,000.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Capital Market under the symbol “VHC.” Each prospectus supplement will indicate whether the securities offered thereby will be listed on any securities exchange. As of May 7, 2026, the aggregate market value of our common stock held by our non-affiliates, as calculated pursuant to the rules of the Securities and Exchange Commission, was approximately $45.43 million, based upon 3,594,361 shares of our outstanding common stock held by non-affiliates at the per share price of $12.64, the closing sale price of our common stock on the Nasdaq Capital Market on May 7, 2026. Pursuant to General Instruction I.B.6 of Form S-3, in no event will we sell securities in a public offering with a value exceeding more than one-third of our “public float” (the market value of our common stock held by our non-affiliates) in any 12-month period so long as our public float remains below $75.0 million. We have not sold any securities in reliance on General Instruction I.B.6 of Form S-3 during the 12 calendar months prior to and including the date of this prospectus. </w:t>
      </w:r>
    </w:p>
    <w:p>
      <w:pPr>
        <w:pStyle w:val="TextBody"/>
        <w:bidi w:val="0"/>
        <w:spacing w:before="120" w:after="283"/>
        <w:ind w:left="0" w:right="0" w:firstLine="400"/>
        <w:jc w:val="left"/>
        <w:rPr/>
      </w:pPr>
      <w:r>
        <w:rPr>
          <w:rFonts w:ascii="Times New Roman;Times;serif" w:hAnsi="Times New Roman;Times;serif"/>
          <w:b/>
          <w:color w:val="000000"/>
          <w:sz w:val="20"/>
        </w:rPr>
        <w:t xml:space="preserve">Investing in our securities involves risks. Please carefully read the information under the headings “Risk Factors” beginning on page </w:t>
      </w:r>
      <w:hyperlink w:anchor="tRF">
        <w:r>
          <w:rPr>
            <w:rStyle w:val="InternetLink"/>
          </w:rPr>
          <w:t>5</w:t>
        </w:r>
      </w:hyperlink>
      <w:r>
        <w:rPr>
          <w:rFonts w:ascii="Times New Roman;Times;serif" w:hAnsi="Times New Roman;Times;serif"/>
          <w:b/>
          <w:color w:val="000000"/>
          <w:sz w:val="20"/>
        </w:rPr>
        <w:t xml:space="preserve"> of this prospectus and “Item 1A – Risk Factors” of our most recent report on Form 10-K or 10-Q that is incorporated by reference in this prospectus and in any applicable prospectus supplement before you invest in our securities.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9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date of this prospectus is June 2,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82832x1_424b5_202-toc_pg1"/>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3950" w:type="dxa"/>
        <w:jc w:val="left"/>
        <w:tblInd w:w="0" w:type="dxa"/>
        <w:tblLayout w:type="fixed"/>
        <w:tblCellMar>
          <w:top w:w="0" w:type="dxa"/>
          <w:left w:w="0" w:type="dxa"/>
          <w:bottom w:w="0" w:type="dxa"/>
          <w:right w:w="0" w:type="dxa"/>
        </w:tblCellMar>
      </w:tblPr>
      <w:tblGrid>
        <w:gridCol w:w="3230"/>
        <w:gridCol w:w="140"/>
        <w:gridCol w:w="140"/>
        <w:gridCol w:w="440"/>
      </w:tblGrid>
      <w:tr>
        <w:trPr/>
        <w:tc>
          <w:tcPr>
            <w:tcW w:w="32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3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3230"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ATP">
              <w:r>
                <w:rPr>
                  <w:rStyle w:val="InternetLink"/>
                  <w:rFonts w:ascii="Times New Roman;Times;serif" w:hAnsi="Times New Roman;Times;serif"/>
                  <w:color w:val="000000"/>
                  <w:sz w:val="20"/>
                </w:rPr>
                <w:t>ii</w:t>
              </w:r>
            </w:hyperlink>
          </w:p>
        </w:tc>
      </w:tr>
      <w:tr>
        <w:trPr/>
        <w:tc>
          <w:tcPr>
            <w:tcW w:w="3230" w:type="dxa"/>
            <w:tcBorders/>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Prospectus 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PS">
              <w:r>
                <w:rPr>
                  <w:rStyle w:val="InternetLink"/>
                  <w:rFonts w:ascii="Times New Roman;Times;serif" w:hAnsi="Times New Roman;Times;serif"/>
                  <w:color w:val="000000"/>
                  <w:sz w:val="20"/>
                </w:rPr>
                <w:t>1</w:t>
              </w:r>
            </w:hyperlink>
          </w:p>
        </w:tc>
      </w:tr>
      <w:tr>
        <w:trPr/>
        <w:tc>
          <w:tcPr>
            <w:tcW w:w="3230"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F">
              <w:r>
                <w:rPr>
                  <w:rStyle w:val="InternetLink"/>
                  <w:rFonts w:ascii="Times New Roman;Times;serif" w:hAnsi="Times New Roman;Times;serif"/>
                  <w:color w:val="000000"/>
                  <w:sz w:val="20"/>
                </w:rPr>
                <w:t>5</w:t>
              </w:r>
            </w:hyperlink>
          </w:p>
        </w:tc>
      </w:tr>
      <w:tr>
        <w:trPr/>
        <w:tc>
          <w:tcPr>
            <w:tcW w:w="3230" w:type="dxa"/>
            <w:tcBorders/>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FLS">
              <w:r>
                <w:rPr>
                  <w:rStyle w:val="InternetLink"/>
                  <w:rFonts w:ascii="Times New Roman;Times;serif" w:hAnsi="Times New Roman;Times;serif"/>
                  <w:color w:val="000000"/>
                  <w:sz w:val="20"/>
                </w:rPr>
                <w:t>6</w:t>
              </w:r>
            </w:hyperlink>
          </w:p>
        </w:tc>
      </w:tr>
      <w:tr>
        <w:trPr/>
        <w:tc>
          <w:tcPr>
            <w:tcW w:w="3230" w:type="dxa"/>
            <w:tcBorders/>
            <w:shd w:fill="CCEEFF" w:val="clear"/>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Use of Proceeds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UOP">
              <w:r>
                <w:rPr>
                  <w:rStyle w:val="InternetLink"/>
                  <w:rFonts w:ascii="Times New Roman;Times;serif" w:hAnsi="Times New Roman;Times;serif"/>
                  <w:color w:val="000000"/>
                  <w:sz w:val="20"/>
                </w:rPr>
                <w:t>7</w:t>
              </w:r>
            </w:hyperlink>
          </w:p>
        </w:tc>
      </w:tr>
      <w:tr>
        <w:trPr/>
        <w:tc>
          <w:tcPr>
            <w:tcW w:w="3230" w:type="dxa"/>
            <w:tcBorders/>
            <w:vAlign w:val="center"/>
          </w:tcPr>
          <w:p>
            <w:pPr>
              <w:pStyle w:val="TableContents"/>
              <w:bidi w:val="0"/>
              <w:spacing w:before="0" w:after="283"/>
              <w:ind w:left="0" w:right="0" w:hanging="0"/>
              <w:jc w:val="left"/>
              <w:rPr/>
            </w:pPr>
            <w:hyperlink w:anchor="tDCS">
              <w:r>
                <w:rPr>
                  <w:rStyle w:val="InternetLink"/>
                  <w:rFonts w:ascii="Times New Roman;Times;serif" w:hAnsi="Times New Roman;Times;serif"/>
                  <w:color w:val="000000"/>
                  <w:sz w:val="20"/>
                </w:rPr>
                <w:t>Description of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CS">
              <w:r>
                <w:rPr>
                  <w:rStyle w:val="InternetLink"/>
                  <w:rFonts w:ascii="Times New Roman;Times;serif" w:hAnsi="Times New Roman;Times;serif"/>
                  <w:color w:val="000000"/>
                  <w:sz w:val="20"/>
                </w:rPr>
                <w:t>8</w:t>
              </w:r>
            </w:hyperlink>
          </w:p>
        </w:tc>
      </w:tr>
      <w:tr>
        <w:trPr/>
        <w:tc>
          <w:tcPr>
            <w:tcW w:w="3230" w:type="dxa"/>
            <w:tcBorders/>
            <w:shd w:fill="CCEEFF" w:val="clear"/>
            <w:vAlign w:val="center"/>
          </w:tcPr>
          <w:p>
            <w:pPr>
              <w:pStyle w:val="TableContents"/>
              <w:bidi w:val="0"/>
              <w:spacing w:before="0" w:after="283"/>
              <w:ind w:left="0" w:right="0" w:hanging="0"/>
              <w:jc w:val="left"/>
              <w:rPr/>
            </w:pPr>
            <w:hyperlink w:anchor="tDS">
              <w:r>
                <w:rPr>
                  <w:rStyle w:val="InternetLink"/>
                  <w:rFonts w:ascii="Times New Roman;Times;serif" w:hAnsi="Times New Roman;Times;serif"/>
                  <w:color w:val="000000"/>
                  <w:sz w:val="20"/>
                </w:rPr>
                <w:t>Description of Debt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S">
              <w:r>
                <w:rPr>
                  <w:rStyle w:val="InternetLink"/>
                  <w:rFonts w:ascii="Times New Roman;Times;serif" w:hAnsi="Times New Roman;Times;serif"/>
                  <w:color w:val="000000"/>
                  <w:sz w:val="20"/>
                </w:rPr>
                <w:t>8</w:t>
              </w:r>
            </w:hyperlink>
          </w:p>
        </w:tc>
      </w:tr>
      <w:tr>
        <w:trPr/>
        <w:tc>
          <w:tcPr>
            <w:tcW w:w="3230" w:type="dxa"/>
            <w:tcBorders/>
            <w:vAlign w:val="center"/>
          </w:tcPr>
          <w:p>
            <w:pPr>
              <w:pStyle w:val="TableContents"/>
              <w:bidi w:val="0"/>
              <w:spacing w:before="0" w:after="283"/>
              <w:ind w:left="0" w:right="0" w:hanging="0"/>
              <w:jc w:val="left"/>
              <w:rPr/>
            </w:pPr>
            <w:hyperlink w:anchor="tDDS">
              <w:r>
                <w:rPr>
                  <w:rStyle w:val="InternetLink"/>
                  <w:rFonts w:ascii="Times New Roman;Times;serif" w:hAnsi="Times New Roman;Times;serif"/>
                  <w:color w:val="000000"/>
                  <w:sz w:val="20"/>
                </w:rPr>
                <w:t>Description of Depositary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DS">
              <w:r>
                <w:rPr>
                  <w:rStyle w:val="InternetLink"/>
                  <w:rFonts w:ascii="Times New Roman;Times;serif" w:hAnsi="Times New Roman;Times;serif"/>
                  <w:color w:val="000000"/>
                  <w:sz w:val="20"/>
                </w:rPr>
                <w:t>15</w:t>
              </w:r>
            </w:hyperlink>
          </w:p>
        </w:tc>
      </w:tr>
      <w:tr>
        <w:trPr/>
        <w:tc>
          <w:tcPr>
            <w:tcW w:w="3230" w:type="dxa"/>
            <w:tcBorders/>
            <w:shd w:fill="CCEEFF" w:val="clear"/>
            <w:vAlign w:val="center"/>
          </w:tcPr>
          <w:p>
            <w:pPr>
              <w:pStyle w:val="TableContents"/>
              <w:bidi w:val="0"/>
              <w:spacing w:before="0" w:after="283"/>
              <w:ind w:left="0" w:right="0" w:hanging="0"/>
              <w:jc w:val="left"/>
              <w:rPr/>
            </w:pPr>
            <w:hyperlink w:anchor="tDW">
              <w:r>
                <w:rPr>
                  <w:rStyle w:val="InternetLink"/>
                  <w:rFonts w:ascii="Times New Roman;Times;serif" w:hAnsi="Times New Roman;Times;serif"/>
                  <w:color w:val="000000"/>
                  <w:sz w:val="20"/>
                </w:rPr>
                <w:t>Description of Warrants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W">
              <w:r>
                <w:rPr>
                  <w:rStyle w:val="InternetLink"/>
                  <w:rFonts w:ascii="Times New Roman;Times;serif" w:hAnsi="Times New Roman;Times;serif"/>
                  <w:color w:val="000000"/>
                  <w:sz w:val="20"/>
                </w:rPr>
                <w:t>17</w:t>
              </w:r>
            </w:hyperlink>
          </w:p>
        </w:tc>
      </w:tr>
      <w:tr>
        <w:trPr/>
        <w:tc>
          <w:tcPr>
            <w:tcW w:w="3230" w:type="dxa"/>
            <w:tcBorders/>
            <w:vAlign w:val="center"/>
          </w:tcPr>
          <w:p>
            <w:pPr>
              <w:pStyle w:val="TableContents"/>
              <w:bidi w:val="0"/>
              <w:spacing w:before="0" w:after="283"/>
              <w:ind w:left="0" w:right="0" w:hanging="0"/>
              <w:jc w:val="left"/>
              <w:rPr/>
            </w:pPr>
            <w:hyperlink w:anchor="tDSR">
              <w:r>
                <w:rPr>
                  <w:rStyle w:val="InternetLink"/>
                  <w:rFonts w:ascii="Times New Roman;Times;serif" w:hAnsi="Times New Roman;Times;serif"/>
                  <w:color w:val="000000"/>
                  <w:sz w:val="20"/>
                </w:rPr>
                <w:t>Description of Subscription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SR">
              <w:r>
                <w:rPr>
                  <w:rStyle w:val="InternetLink"/>
                  <w:rFonts w:ascii="Times New Roman;Times;serif" w:hAnsi="Times New Roman;Times;serif"/>
                  <w:color w:val="000000"/>
                  <w:sz w:val="20"/>
                </w:rPr>
                <w:t>18</w:t>
              </w:r>
            </w:hyperlink>
          </w:p>
        </w:tc>
      </w:tr>
      <w:tr>
        <w:trPr/>
        <w:tc>
          <w:tcPr>
            <w:tcW w:w="3230" w:type="dxa"/>
            <w:tcBorders/>
            <w:shd w:fill="CCEEFF" w:val="clear"/>
            <w:vAlign w:val="center"/>
          </w:tcPr>
          <w:p>
            <w:pPr>
              <w:pStyle w:val="TableContents"/>
              <w:bidi w:val="0"/>
              <w:spacing w:before="0" w:after="283"/>
              <w:ind w:left="0" w:right="0" w:hanging="0"/>
              <w:jc w:val="left"/>
              <w:rPr/>
            </w:pPr>
            <w:hyperlink w:anchor="tDPC">
              <w:r>
                <w:rPr>
                  <w:rStyle w:val="InternetLink"/>
                  <w:rFonts w:ascii="Times New Roman;Times;serif" w:hAnsi="Times New Roman;Times;serif"/>
                  <w:color w:val="000000"/>
                  <w:sz w:val="20"/>
                </w:rPr>
                <w:t>Description of Purchase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PC">
              <w:r>
                <w:rPr>
                  <w:rStyle w:val="InternetLink"/>
                  <w:rFonts w:ascii="Times New Roman;Times;serif" w:hAnsi="Times New Roman;Times;serif"/>
                  <w:color w:val="000000"/>
                  <w:sz w:val="20"/>
                </w:rPr>
                <w:t>18</w:t>
              </w:r>
            </w:hyperlink>
          </w:p>
        </w:tc>
      </w:tr>
      <w:tr>
        <w:trPr/>
        <w:tc>
          <w:tcPr>
            <w:tcW w:w="3230" w:type="dxa"/>
            <w:tcBorders/>
            <w:vAlign w:val="center"/>
          </w:tcPr>
          <w:p>
            <w:pPr>
              <w:pStyle w:val="TableContents"/>
              <w:bidi w:val="0"/>
              <w:spacing w:before="0" w:after="283"/>
              <w:ind w:left="0" w:right="0" w:hanging="0"/>
              <w:jc w:val="left"/>
              <w:rPr/>
            </w:pPr>
            <w:hyperlink w:anchor="tDU">
              <w:r>
                <w:rPr>
                  <w:rStyle w:val="InternetLink"/>
                  <w:rFonts w:ascii="Times New Roman;Times;serif" w:hAnsi="Times New Roman;Times;serif"/>
                  <w:color w:val="000000"/>
                  <w:sz w:val="20"/>
                </w:rPr>
                <w:t>Description of Units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U">
              <w:r>
                <w:rPr>
                  <w:rStyle w:val="InternetLink"/>
                  <w:rFonts w:ascii="Times New Roman;Times;serif" w:hAnsi="Times New Roman;Times;serif"/>
                  <w:color w:val="000000"/>
                  <w:sz w:val="20"/>
                </w:rPr>
                <w:t>19</w:t>
              </w:r>
            </w:hyperlink>
          </w:p>
        </w:tc>
      </w:tr>
      <w:tr>
        <w:trPr/>
        <w:tc>
          <w:tcPr>
            <w:tcW w:w="3230" w:type="dxa"/>
            <w:tcBorders/>
            <w:shd w:fill="CCEEFF" w:val="clear"/>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POD">
              <w:r>
                <w:rPr>
                  <w:rStyle w:val="InternetLink"/>
                  <w:rFonts w:ascii="Times New Roman;Times;serif" w:hAnsi="Times New Roman;Times;serif"/>
                  <w:color w:val="000000"/>
                  <w:sz w:val="20"/>
                </w:rPr>
                <w:t>21</w:t>
              </w:r>
            </w:hyperlink>
          </w:p>
        </w:tc>
      </w:tr>
      <w:tr>
        <w:trPr/>
        <w:tc>
          <w:tcPr>
            <w:tcW w:w="3230"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LM">
              <w:r>
                <w:rPr>
                  <w:rStyle w:val="InternetLink"/>
                  <w:rFonts w:ascii="Times New Roman;Times;serif" w:hAnsi="Times New Roman;Times;serif"/>
                  <w:color w:val="000000"/>
                  <w:sz w:val="20"/>
                </w:rPr>
                <w:t>23</w:t>
              </w:r>
            </w:hyperlink>
          </w:p>
        </w:tc>
      </w:tr>
      <w:tr>
        <w:trPr/>
        <w:tc>
          <w:tcPr>
            <w:tcW w:w="3230"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EXP">
              <w:r>
                <w:rPr>
                  <w:rStyle w:val="InternetLink"/>
                  <w:rFonts w:ascii="Times New Roman;Times;serif" w:hAnsi="Times New Roman;Times;serif"/>
                  <w:color w:val="000000"/>
                  <w:sz w:val="20"/>
                </w:rPr>
                <w:t>23</w:t>
              </w:r>
            </w:hyperlink>
          </w:p>
        </w:tc>
      </w:tr>
      <w:tr>
        <w:trPr/>
        <w:tc>
          <w:tcPr>
            <w:tcW w:w="323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WYC">
              <w:r>
                <w:rPr>
                  <w:rStyle w:val="InternetLink"/>
                  <w:rFonts w:ascii="Times New Roman;Times;serif" w:hAnsi="Times New Roman;Times;serif"/>
                  <w:color w:val="000000"/>
                  <w:sz w:val="20"/>
                </w:rPr>
                <w:t>23</w:t>
              </w:r>
            </w:hyperlink>
          </w:p>
        </w:tc>
      </w:tr>
      <w:tr>
        <w:trPr/>
        <w:tc>
          <w:tcPr>
            <w:tcW w:w="3230" w:type="dxa"/>
            <w:tcBorders/>
            <w:shd w:fill="CCEEFF" w:val="clear"/>
            <w:vAlign w:val="center"/>
          </w:tcPr>
          <w:p>
            <w:pPr>
              <w:pStyle w:val="TableContents"/>
              <w:bidi w:val="0"/>
              <w:spacing w:before="0" w:after="283"/>
              <w:ind w:left="0" w:right="0" w:hanging="0"/>
              <w:jc w:val="left"/>
              <w:rPr/>
            </w:pPr>
            <w:hyperlink w:anchor="tINC">
              <w:r>
                <w:rPr>
                  <w:rStyle w:val="InternetLink"/>
                  <w:rFonts w:ascii="Times New Roman;Times;serif" w:hAnsi="Times New Roman;Times;serif"/>
                  <w:color w:val="000000"/>
                  <w:sz w:val="20"/>
                </w:rPr>
                <w:t>Incorporation by Reference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INC">
              <w:r>
                <w:rPr>
                  <w:rStyle w:val="InternetLink"/>
                  <w:rFonts w:ascii="Times New Roman;Times;serif" w:hAnsi="Times New Roman;Times;serif"/>
                  <w:color w:val="000000"/>
                  <w:sz w:val="20"/>
                </w:rPr>
                <w:t>24</w:t>
              </w:r>
            </w:hyperlink>
          </w:p>
        </w:tc>
      </w:tr>
      <w:tr>
        <w:trPr/>
        <w:tc>
          <w:tcPr>
            <w:tcW w:w="32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82832x1_424b5_203-about_pg1"/>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2" w:name="tATP"/>
      <w:bookmarkEnd w:id="42"/>
      <w:r>
        <w:rPr>
          <w:rFonts w:ascii="Times New Roman;Times;serif" w:hAnsi="Times New Roman;Times;serif"/>
          <w:b/>
          <w:color w:val="000000"/>
          <w:sz w:val="20"/>
        </w:rPr>
        <w:t xml:space="preserve">ABOUT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is part of a registration statement that we filed with the Securities and Exchange Commission (SEC) using a “shelf” registration process. Under this shelf registration process, we may from time to time sell any combination of the securities described in this prospectus in one or more offerings for an aggregate offering price up to $20,000,000.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Before you invest in our securities, you should read both this prospectus and any applicable prospectus supplement together with the additional information described in the sections titled “Where You Can Find More Information” and “Incorporation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82832x1_424b5_204-summary_pg1"/>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44" w:name="tPS"/>
      <w:bookmarkEnd w:id="44"/>
      <w:r>
        <w:rPr>
          <w:rFonts w:ascii="Times New Roman;Times;serif" w:hAnsi="Times New Roman;Times;serif"/>
          <w:b/>
          <w:color w:val="000000"/>
          <w:sz w:val="20"/>
          <w:bdr w:val="single" w:sz="8" w:space="12" w:color="000000"/>
        </w:rPr>
        <w:t xml:space="preserve">PROSPECTUS SUMMARY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in the section titled “Risk Factors” and the financial statements and related notes and other information that we incorporate by reference herein, including our Annual Report on Form 10-K and our Quarterly Reports on Form 10-Q. Unless the context indicates otherwise, references in this prospectus to “VirnetX Holding Corporation,” “VirnetX,” “Company,” “registrant,” “we,” “our” and “us” refer, collectively, to VirnetX Holding Corporation, a Delaware corporation, and its subsidiaries taken as a whole.</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Company Overview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an Internet security software and technology company with patented cybersecurity solutions that are designed to ensure resilient, secure communications across any network or device.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flagship platform, VirnetX One™, is built on Zero Trust Network Access (ZTNA) principles and extends our patented Secure Domain Name System (SDNS) technology to establish end-to-end encrypted communications on demand, regardless of user location or endpoint. VirnetX One™ operates as a security-as-a-service platform and may be deployed in cloud, on-premise, or hybrid enterprise environments. The platform is designed to protect applications, services, and infrastructure by providing an additional security layer that integrates with existing systems to reduce exposure to evolving cyber threats affecting data, operating systems, infrastructure components, and gateway security controllers.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VirnetX Matrix™ leverages the VirnetX One™ platform to secure communications using encrypted, identity-based access controls, including in contested or high-risk environments. It is designed to protect internet-enabled enterprise applications, connected devices, and control systems, such as file servers, data backup systems, and VPN or firewall environments. VirnetX Matrix™ is intended to be deployed without requiring material changes to an enterprise’s existing infrastructure and provides centralized visibility and policy enforcement to address unauthorized access and evolving attack techniques.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VirnetX War Room™, also built on the VirnetX One™ platform, provides secure collaboration and visualization capabilities designed to support sensitive, unclassified but secure communications. The platform enables controlled access to virtual meeting environments by validating user and device permissions prior to granting access. VirnetX War Room™ is intended for use cases where confidentiality and access control are critical, including government, law enforcement, legal, financial, and healthcare environments.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products, including VirnetX One™, VirnetX Matrix™, and VirnetX War Room™, are designed to support U.S. Department of Defense (DoD), federal government, and commercial customers requiring real-time encrypted communications and network security. Our solutions are designed to be applicable across a range of public and private sector markets, including critical infrastructure, law enforcement, healthcare, financial services, legal services, energy, and related industries. We pursue sales opportunities nationwide and engage with universities and academic institutions to support research collaboration, workforce development, and technology transition initiatives.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also support international sales of our commercial products in compliance with applicable U.S. export control laws and regulations, including the International Traffic in Arms Regulations (ITAR) and the Export Administration Regulations (EAR). Our compliance processes are designed to ensure that international transactions adhere to export control requirements while supporting authorized global customers.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technology focuses on system design and evaluation to address the continued growth of Internet of Things (IoT) and edge computing environments. We are developing a federated, hybrid mesh network architecture designed with security as a foundational element, extending secure networking capabilities to resource-constrained devices through obfuscated and lightweight security mechanisms designed to protect communications without exposing underlying security processes. These efforts support secure identity, trust enforcement, and encrypted communications for distributed and edge-based systems, aligning our architecture with the industry’s shift toward decentralized and resilient network models. This approach incorporates dynamic trust evaluation, autonomous recovery, and distributed decision-making to enhance network resilience and adaptability.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82832x1_424b5_204-summary_pg2"/>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To support system design and evaluation, we employ Model-Based Systems Engineering (MBSE) and agent-based modeling methodologies. These approaches enable simulation and analysis of complex systems, including cyber-physical environments and adaptive networks, and support assessment of system behavior under evolving threat conditions.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Certain of our services are designed to align with the Department of Defense’s Digital Engineering Strategy (DE) by supporting cybersecurity integration across system design, command and control, battle management, and sensor orchestration, and by enhancing our MBSE and cyber threat assessment capabilities. Our Dynamic Trust Evaluation (DTE) methods are designed to enforce trust policies throughout system lifecycles, and our cyber threat intelligence and assessment services provide structured analysis of cyber risks and vulnerabilities.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intend to make available our digital engineering, cyber MBSE, and cyber threat intelligence services to federal, state, and local government agencies, subject to applicable contracting requirements. We hold a Multiple Award Schedule (MAS) and obtained DoD Joint Certification Program (DD Form 2345) certifications for our facilities in Zephyr Cove, Nevada, and Farmington, Utah, which permit access to certain unclassified technical data subject to export controls. These certifications streamline procurement of our products and services by federal, state, and local government agencies and support our ability to engage with government and defense customers while maintaining compliance with applicable handling and security requirements.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Additionally, we are developing a Center for Advanced Software and Hardware Integration at our Farmington, Utah facility, that incorporates artificial intelligence (AI) and digital twin technologies alongside our Software-Defined Networks (SDN) capabilities. This facility is intended to support development and integration of secure, adaptive software solutions. We have entered into strategic relationships, including an investment in L2 Holdings, LLC (OmniTeq), an AI/Machine Learning (ML) solutions provider, and cooperative agreements, including a Cooperative Research and Development Agreement (CRADA) with the Air Force Research Laboratory, Intelligence Systems Directorate (AFRL/RI). The CRADA focuses on cybersecurity and Zero Trust Network Access (ZTNA)-related technologies, extends through 2030, and supports collaboration in areas relevant to defense and intelligence operations.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to federal, state, and local government agencies and defense customers, we pursue sales opportunities nationwide and engage with universities and academic institutions to support research collaboration, workforce development, and technology transition initiatives.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intellectual property portfolio is a core component of our business. We own U.S. and foreign patents, as well as pending patent applications, that are primarily directed to securing real-time communications over the Internet and related services. These patents underpin our technology and products. Certain portions of this portfolio were acquired by our principal operating subsidiary, VirnetX, Inc., from Leidos, Inc. in 2006.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employees include the core development team behind our inventions, technology, and software. Some members of this team have worked together for over twenty years and were on the same team that invented and developed this technology while working at Leidos, Inc. The team has continued its research and development work to refine our unique network security technology and make it more secure and easy to deploy.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Corporate Information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executive offices are located at 308 Dorla Court, Suite 206, Zephyr Cove, Nevada 89448, and our telephone number at that address is (775) 548-1785. We maintain a website on the Internet at </w:t>
      </w:r>
      <w:r>
        <w:rPr>
          <w:rFonts w:ascii="Times New Roman;Times;serif" w:hAnsi="Times New Roman;Times;serif"/>
          <w:i/>
          <w:color w:val="000000"/>
          <w:sz w:val="20"/>
          <w:bdr w:val="single" w:sz="8" w:space="12" w:color="000000"/>
        </w:rPr>
        <w:t>https://virnetx.com/</w:t>
      </w:r>
      <w:r>
        <w:rPr>
          <w:rFonts w:ascii="Times New Roman;Times;serif" w:hAnsi="Times New Roman;Times;serif"/>
          <w:color w:val="000000"/>
          <w:sz w:val="20"/>
          <w:bdr w:val="single" w:sz="8" w:space="12" w:color="000000"/>
        </w:rPr>
        <w:t xml:space="preserve">. Our website, and the information contained therein, is not a part of this prospectus.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 holding company and conduct our operations through our wholly-owned subsidiary, VirnetX, Inc. VirnetX, Inc. was incorporated in the State of Delaware in August 2005. In November 2006, VirnetX, Inc. acquired certain patents from SAIC, now Leidos, Inc. In July 2007, we effected a merger by and among VirnetX, Inc., VirnetX Holding Corporation and a wholly-owned subsidiary of VirnetX Holding Corporation, whereby VirnetX, Inc. merged with, and became, a wholly-owned subsidiary of VirnetX Holding Corporation, and VirnetX Holding Corporation issued shares of its common stock to the stockholders of VirnetX, Inc. as consideration for the merger. As a result of this merger, the former security holders of VirnetX, Inc. came to own a majority of our outstanding common stock. On October 29, 2007, we changed our name from PASW, Inc. to VirnetX Holding Corporation.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VirnetX™, VirnetX One™, VirnetX Matrix™, and VirnetX War Room™ are our trademarks in the United States. This prospectus includes product names, trade names and trademarks of other companies. All other product names, trade names and trademarks appearing in this prospectus are the property of their respective holders.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82832x1_424b5_204-summary_pg3"/>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Securities That May Be Offered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offer or sell common stock, preferred stock, depositary shares, debt securities, warrants, subscription rights, purchase contracts and units in one or more offerings and in any combination. The aggregate offering price of the securities we sell pursuant to this prospectus will not exceed $20,000,000. Each time securities are offered with this prospectus, we will provide a prospectus supplement that will describe the specific amounts, prices and terms of the securities being offered and the net proceeds we expect to receive from that sale.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securities may be sold to or through underwriters, dealers or agents or directly to purchasers or as otherwise set forth in the section titled “Plan of Distribution.” We, as well as any agents acting on our or their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 </w:t>
      </w:r>
    </w:p>
    <w:p>
      <w:pPr>
        <w:pStyle w:val="TextBody"/>
        <w:bidi w:val="0"/>
        <w:spacing w:before="24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Common Stock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offer shares of our common stock, par value $0.0001 per share, either alone or underlying other registered securities convertible into our common stock. All outstanding shares of our common stock are of the same class and have equal rights and attributes.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Voting. </w:t>
      </w:r>
      <w:r>
        <w:rPr>
          <w:rFonts w:ascii="Times New Roman;Times;serif" w:hAnsi="Times New Roman;Times;serif"/>
          <w:i w:val="false"/>
          <w:caps w:val="false"/>
          <w:smallCaps w:val="false"/>
          <w:color w:val="000000"/>
          <w:sz w:val="20"/>
          <w:bdr w:val="single" w:sz="8" w:space="12" w:color="000000"/>
        </w:rPr>
        <w:t xml:space="preserve">The holders of our common stock are entitled to one vote per share on all matters submitted to a vote of stockholders. Our common stock does not have cumulative voting rights. Persons who hold a majority of the outstanding shares of our common stock entitled to vote on the election of directors can elect all of the directors who are eligible for election.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Dividends. </w:t>
      </w:r>
      <w:r>
        <w:rPr>
          <w:rFonts w:ascii="Times New Roman;Times;serif" w:hAnsi="Times New Roman;Times;serif"/>
          <w:i w:val="false"/>
          <w:caps w:val="false"/>
          <w:smallCaps w:val="false"/>
          <w:color w:val="000000"/>
          <w:sz w:val="20"/>
          <w:bdr w:val="single" w:sz="8" w:space="12" w:color="000000"/>
        </w:rPr>
        <w:t xml:space="preserve">Subject to the preferential dividend rights and consent rights of any series of preferred stock that we may from time to time designate, holders of our common stock are entitled to share equally in dividends, if any, as may be declared from time to time by our Board of Directors out of funds legally available.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Liquidation and Dissolution. </w:t>
      </w:r>
      <w:r>
        <w:rPr>
          <w:rFonts w:ascii="Times New Roman;Times;serif" w:hAnsi="Times New Roman;Times;serif"/>
          <w:i w:val="false"/>
          <w:caps w:val="false"/>
          <w:smallCaps w:val="false"/>
          <w:color w:val="000000"/>
          <w:sz w:val="20"/>
          <w:bdr w:val="single" w:sz="8" w:space="12" w:color="000000"/>
        </w:rPr>
        <w:t xml:space="preserve">In the event of our liquidation, dissolution or winding up, subject to the preferential liquidation rights of any series of preferred stock that we may from time to time designate, the holders of our common stock are entitled to share ratably in all of our assets remaining after payment of all liabilities and preferential liquidation rights. </w:t>
      </w:r>
    </w:p>
    <w:p>
      <w:pPr>
        <w:pStyle w:val="TextBody"/>
        <w:bidi w:val="0"/>
        <w:spacing w:before="24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Preferred Stock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 </w:t>
      </w:r>
    </w:p>
    <w:p>
      <w:pPr>
        <w:pStyle w:val="TextBody"/>
        <w:bidi w:val="0"/>
        <w:spacing w:before="24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Depositary Shares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offer depositary shares evidenced by depositary receipts, with each depositary share representing a fractional interest in a share of a particular series of preferred stock issued and deposited with a depositary to be designated by us. 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 </w:t>
      </w:r>
    </w:p>
    <w:p>
      <w:pPr>
        <w:pStyle w:val="TextBody"/>
        <w:bidi w:val="0"/>
        <w:spacing w:before="24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Debt Securities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offer debt securities that are convertible into shares of our common stock or other securities.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82832x1_424b5_204-summary_pg4"/>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 </w:t>
      </w:r>
    </w:p>
    <w:p>
      <w:pPr>
        <w:pStyle w:val="TextBody"/>
        <w:bidi w:val="0"/>
        <w:spacing w:before="41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Warrants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offer warrants for the purchase of common stock. We may offer warrants independently or together with other securities. </w:t>
      </w:r>
    </w:p>
    <w:p>
      <w:pPr>
        <w:pStyle w:val="TextBody"/>
        <w:bidi w:val="0"/>
        <w:spacing w:before="41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Subscription Rights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offer subscription rights to purchase our common stock. These subscription rights may be offered independently or together with any other security offered hereby and may or may not be transferable by the stockholder receiving the subscription rights in such offering. </w:t>
      </w:r>
    </w:p>
    <w:p>
      <w:pPr>
        <w:pStyle w:val="TextBody"/>
        <w:bidi w:val="0"/>
        <w:spacing w:before="41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Purchase Contracts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offer purchase contracts, including contracts obligating holders or us to purchase from the other a specific or variable number of securities at a future date or dates. </w:t>
      </w:r>
    </w:p>
    <w:p>
      <w:pPr>
        <w:pStyle w:val="TextBody"/>
        <w:bidi w:val="0"/>
        <w:spacing w:before="41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Units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offer units comprised of one or more of the other classes of securities described in this prospectus in any combination. Each unit will be issued so that the holder of the unit is also the holder of each security included in the unit. </w:t>
      </w:r>
    </w:p>
    <w:p>
      <w:pPr>
        <w:pStyle w:val="TextBody"/>
        <w:bidi w:val="0"/>
        <w:spacing w:before="120" w:after="240"/>
        <w:ind w:left="240" w:right="0" w:firstLine="4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This prospectus may not be used to consummate a sale of any securities unless it is accompanied by a prospectus supplement.</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82832x1_424b5_205-risk_pg1"/>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9" w:name="tRF"/>
      <w:bookmarkEnd w:id="49"/>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risk factors discussed in the section of the applicable prospectus supplement titled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 on Form 10-Q filed subsequent to such Form 10-K that are incorporated herein by reference, as may be amended, supplemented or superseded from time to time by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82832x1_424b5_206-fls_pg1"/>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1" w:name="tFLS"/>
      <w:bookmarkEnd w:id="51"/>
      <w:r>
        <w:rPr>
          <w:rFonts w:ascii="Times New Roman;Times;serif" w:hAnsi="Times New Roman;Times;serif"/>
          <w:b/>
          <w:color w:val="000000"/>
          <w:sz w:val="20"/>
        </w:rPr>
        <w:t xml:space="preserve">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(the Securities Act), and Section 21E of the Securities Exchange Act of 1934, as amended (the Exchange Act). The words “believe,” “may,” “will,” “estimate,” “continue,” “anticipate,” “intend,” “expect,” “could,” “would,” “project,” “plan,” “goal,”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titled “Prospectus Summary,” “Risk Factors” and “Management’s Discussion and Analysis of Financial Condition and Results of Operations” and include statements regarding the intent, belief or current expectations of our Company and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 Factors that could cause or contribute to such differences include, but are not limited to those discussed in the documents incorporated by reference under the caption “Risk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the applicable prospectus supplement and any related issuer free writing prospectus, as well as the information and documents incorporated by reference into this prospectus, contain statements that are based on management’s current expectations and beliefs, including estimates and projections about of our Company, industry, financial condition, results of operations and other matters. These statements are not guarantees of future performance and are subject to numerous risks, uncertainties, and assumptions that are difficult to predict.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82832x1_424b5_207-use_pg1"/>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3" w:name="tUOP"/>
      <w:bookmarkEnd w:id="53"/>
      <w:r>
        <w:rPr>
          <w:rFonts w:ascii="Times New Roman;Times;serif" w:hAnsi="Times New Roman;Times;serif"/>
          <w:b/>
          <w:color w:val="000000"/>
          <w:sz w:val="20"/>
        </w:rPr>
        <w:t xml:space="preserve">USE OF PROCEEDS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retain broad discretion over the use of the net proceeds to us from the sale of our securities under this prospectus. Unless otherwise provided in the applicable prospectus supplement, we currently expect to use the net proceeds that we receive from this offering for product development and marketing, and general corporate purposes, which may include working capital, capital expenditures, other corporate expenses and acquisitions of complementary products, technologies or businesses. We may also use a portion of the net proceeds to acquire, license or invest in complementary products, technologies or businesses; however, we currently have no agreements or commitments to complete any such transaction. The timing and amount of our actual expenditures will be based on many factors, including cash flows from operations and the anticipated growth of our business, but the expected use of net proceeds of this offering represents our current intentions based on our present plans and business conditions. We cannot specify with certainty all of the particular uses for the net proceeds to be received upon the closing of this offering. Pending these uses, we may invest the net proceeds of this offering in short- and intermediate-term, interest-bearing obligations, investment-grade instruments, certificates of deposit or direct or guaranteed obligations of the U.S. government.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82832x1_424b5_208-desc_pg1"/>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5" w:name="tDCS"/>
      <w:bookmarkEnd w:id="55"/>
      <w:r>
        <w:rPr>
          <w:rFonts w:ascii="Times New Roman;Times;serif" w:hAnsi="Times New Roman;Times;serif"/>
          <w:b/>
          <w:color w:val="000000"/>
          <w:sz w:val="20"/>
        </w:rPr>
        <w:t xml:space="preserve">DESCRIPTION OF CAPITAL STOCK </w:t>
      </w:r>
    </w:p>
    <w:p>
      <w:pPr>
        <w:pStyle w:val="TextBody"/>
        <w:bidi w:val="0"/>
        <w:spacing w:before="120" w:after="283"/>
        <w:ind w:left="0" w:right="0" w:firstLine="400"/>
        <w:jc w:val="left"/>
        <w:rPr/>
      </w:pPr>
      <w:r>
        <w:rPr>
          <w:rFonts w:ascii="Times New Roman;Times;serif" w:hAnsi="Times New Roman;Times;serif"/>
          <w:color w:val="000000"/>
          <w:sz w:val="20"/>
        </w:rPr>
        <w:t xml:space="preserve">The description of our capital stock is incorporated by reference to Exhibit </w:t>
      </w:r>
      <w:hyperlink r:id="rId10">
        <w:r>
          <w:rPr>
            <w:rStyle w:val="InternetLink"/>
            <w:rFonts w:ascii="Times New Roman;Times;serif" w:hAnsi="Times New Roman;Times;serif"/>
            <w:color w:val="000080"/>
            <w:sz w:val="20"/>
          </w:rPr>
          <w:t>4.4</w:t>
        </w:r>
      </w:hyperlink>
      <w:r>
        <w:rPr>
          <w:rFonts w:ascii="Times New Roman;Times;serif" w:hAnsi="Times New Roman;Times;serif"/>
          <w:color w:val="000000"/>
          <w:sz w:val="20"/>
        </w:rPr>
        <w:t xml:space="preserve"> to our Annual Report on Form 10-K for the fiscal year ended December 31, 2025, filed with the SEC on </w:t>
      </w:r>
      <w:hyperlink r:id="rId11">
        <w:r>
          <w:rPr>
            <w:rStyle w:val="InternetLink"/>
            <w:rFonts w:ascii="Times New Roman;Times;serif" w:hAnsi="Times New Roman;Times;serif"/>
            <w:color w:val="000080"/>
            <w:sz w:val="20"/>
          </w:rPr>
          <w:t>March 24, 2026</w:t>
        </w:r>
      </w:hyperlink>
      <w:r>
        <w:rPr>
          <w:rFonts w:ascii="Times New Roman;Times;serif" w:hAnsi="Times New Roman;Times;serif"/>
          <w:color w:val="000000"/>
          <w:sz w:val="20"/>
        </w:rPr>
        <w:t xml:space="preserve">. </w:t>
      </w:r>
    </w:p>
    <w:p>
      <w:pPr>
        <w:pStyle w:val="TextBody"/>
        <w:bidi w:val="0"/>
        <w:spacing w:before="410" w:after="283"/>
        <w:jc w:val="center"/>
        <w:rPr>
          <w:rFonts w:ascii="Times New Roman;Times;serif" w:hAnsi="Times New Roman;Times;serif"/>
          <w:b/>
          <w:color w:val="000000"/>
          <w:sz w:val="20"/>
        </w:rPr>
      </w:pPr>
      <w:bookmarkStart w:id="56" w:name="tDS"/>
      <w:bookmarkEnd w:id="56"/>
      <w:r>
        <w:rPr>
          <w:rFonts w:ascii="Times New Roman;Times;serif" w:hAnsi="Times New Roman;Times;serif"/>
          <w:b/>
          <w:color w:val="000000"/>
          <w:sz w:val="20"/>
        </w:rPr>
        <w:t xml:space="preserve">DESCRIPTION OF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or the Trust Indenture Act. The summary is not complete and is subject to, and qualified in its entirety by reference to, all of the provisions of the indenture applicable to a particular series of debt securities. The form of the indenture has been filed as an exhibit to the registration statement of which this prospectus forms a part and you should read the indenture for provisions that may be important to you. Supplemental indentures and forms of debt securities containing the terms of the debt securities being offered will be filed as exhibits to the registration statement of which this prospectus is a part or will be incorporated by reference from reports that we file with the SEC, as applicable. Capitalized terms used in the summary and not defined herein have the meanings specified in the indenture. Unless the context requires otherwise, whenever we refer to an indenture, we also are referring to any supplemental indentures or forms of debt securities that specify the terms of a particular series of debt securities.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 </w:t>
      </w:r>
    </w:p>
    <w:tbl>
      <w:tblPr>
        <w:tblW w:w="7990" w:type="dxa"/>
        <w:jc w:val="left"/>
        <w:tblInd w:w="0" w:type="dxa"/>
        <w:tblLayout w:type="fixed"/>
        <w:tblCellMar>
          <w:top w:w="0" w:type="dxa"/>
          <w:left w:w="0" w:type="dxa"/>
          <w:bottom w:w="0" w:type="dxa"/>
          <w:right w:w="0" w:type="dxa"/>
        </w:tblCellMar>
      </w:tblPr>
      <w:tblGrid>
        <w:gridCol w:w="110"/>
        <w:gridCol w:w="7880"/>
      </w:tblGrid>
      <w:tr>
        <w:trPr/>
        <w:tc>
          <w:tcPr>
            <w:tcW w:w="11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and ranking of the debt securities (including the terms of any subordination provisions);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 or prices (expressed as a percentage of the principal amount) at which we will sell the debt securities, which may be sold at a discount below their stated principal amount; </w:t>
            </w:r>
          </w:p>
        </w:tc>
      </w:tr>
    </w:tbl>
    <w:tbl>
      <w:tblPr>
        <w:tblW w:w="5740" w:type="dxa"/>
        <w:jc w:val="left"/>
        <w:tblInd w:w="0" w:type="dxa"/>
        <w:tblLayout w:type="fixed"/>
        <w:tblCellMar>
          <w:top w:w="0" w:type="dxa"/>
          <w:left w:w="0" w:type="dxa"/>
          <w:bottom w:w="0" w:type="dxa"/>
          <w:right w:w="0" w:type="dxa"/>
        </w:tblCellMar>
      </w:tblPr>
      <w:tblGrid>
        <w:gridCol w:w="110"/>
        <w:gridCol w:w="5630"/>
      </w:tblGrid>
      <w:tr>
        <w:trPr/>
        <w:tc>
          <w:tcPr>
            <w:tcW w:w="110" w:type="dxa"/>
            <w:tcBorders/>
            <w:vAlign w:val="center"/>
          </w:tcPr>
          <w:p>
            <w:pPr>
              <w:pStyle w:val="TableContents"/>
              <w:bidi w:val="0"/>
              <w:spacing w:before="0" w:after="0"/>
              <w:jc w:val="left"/>
              <w:rPr>
                <w:color w:val="000000"/>
              </w:rPr>
            </w:pPr>
            <w:r>
              <w:rPr>
                <w:color w:val="000000"/>
              </w:rPr>
              <w:t>•</w:t>
            </w:r>
          </w:p>
        </w:tc>
        <w:tc>
          <w:tcPr>
            <w:tcW w:w="5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limit upon the aggregate principal amount of the debt securities;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or dates on which the principal of the securities of the series is payable;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tbl>
      <w:tblPr>
        <w:tblW w:w="8065" w:type="dxa"/>
        <w:jc w:val="left"/>
        <w:tblInd w:w="0" w:type="dxa"/>
        <w:tblLayout w:type="fixed"/>
        <w:tblCellMar>
          <w:top w:w="0" w:type="dxa"/>
          <w:left w:w="0" w:type="dxa"/>
          <w:bottom w:w="0" w:type="dxa"/>
          <w:right w:w="0" w:type="dxa"/>
        </w:tblCellMar>
      </w:tblPr>
      <w:tblGrid>
        <w:gridCol w:w="110"/>
        <w:gridCol w:w="7955"/>
      </w:tblGrid>
      <w:tr>
        <w:trPr/>
        <w:tc>
          <w:tcPr>
            <w:tcW w:w="110" w:type="dxa"/>
            <w:tcBorders/>
            <w:vAlign w:val="center"/>
          </w:tcPr>
          <w:p>
            <w:pPr>
              <w:pStyle w:val="TableContents"/>
              <w:bidi w:val="0"/>
              <w:spacing w:before="0" w:after="0"/>
              <w:jc w:val="left"/>
              <w:rPr>
                <w:color w:val="000000"/>
              </w:rPr>
            </w:pPr>
            <w:r>
              <w:rPr>
                <w:color w:val="000000"/>
              </w:rPr>
              <w:t>•</w:t>
            </w:r>
          </w:p>
        </w:tc>
        <w:tc>
          <w:tcPr>
            <w:tcW w:w="7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 if any, to defer payment of interest and the maximum length of any such deferral period;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82832x1_424b5_208-desc_pg2"/>
        <w:bookmarkEnd w:id="5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period or periods within which, the price or prices at which, and the terms and conditions upon which, we may redeem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relating to conversion or exchange of any debt securities of the series into our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denominations in which the debt securities will be issued, if other than denominations of $1,000, and any integral multiple thereof;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form of the debt securities and whether the debt securities will be issued in the form of certificated debt securities or global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portion of principal amount of the debt securities payable upon declaration of acceleration of the maturity date, if other than the principal amount;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manner in which the amounts of payment of principal or premium or interest, if any, on the debt securities will be determined, if these amounts may be determined by reference to an index based on a currency or currencies or by reference to a commodity, commodity index, stock exchange index or financial index;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provisions relating to any security provided for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depositaries, interest rate calculation agents, exchange rate calculation agents or other agents with respect to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there is more than one trustee or a different trustee, the identity of the trustee and, if not the trustee, the identity of each security registrar, paying agent or authenticating agent with respect to such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any of our direct or indirect subsidiaries will guarantee the debt securities of that series, including the terms of subordination, if any, of such guarantees.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82832x1_424b5_208-desc_pg3"/>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and Exchange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titled “—Global Debt Securities and Book-Entry System,” below, book-entry debt securities will not be issuable in certificated form. </w:t>
      </w:r>
    </w:p>
    <w:p>
      <w:pPr>
        <w:pStyle w:val="TextBody"/>
        <w:bidi w:val="0"/>
        <w:spacing w:before="33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Certificated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3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Global Debt Securities and Book-Entry System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global debt security representing book-entry debt securities will be deposited with, or on behalf of, the depositary, and registered in the name of the depositary or a nominee of the depositary.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Covenants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set forth in the applicable prospectus supplement any restrictive covenants applicable to any issue or series of debt securities.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Protection in the Event of a Change of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Consolidation, Merger and Sale of Assets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not consolidate with or merge with or into, or convey, transfer or lease all or substantially all of our properties and assets to any person, which we refer to as a successor person,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are the surviving corporation or the successor person (if other than us) is a corporation organized and validly existing under the laws of any U.S. domestic jurisdiction and expressly assumes our obligations on the debt securities and under the indenture;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immediately after giving effect to the transaction, no Default or Event of Default (as defined below), shall have occurred and be continuing.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above, any of our subsidiaries may consolidate with, merge into or transfer all or part of its properties to 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82832x1_424b5_208-desc_pg4"/>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Events of Default </w:t>
      </w:r>
    </w:p>
    <w:p>
      <w:pPr>
        <w:pStyle w:val="TextBody"/>
        <w:bidi w:val="0"/>
        <w:spacing w:before="150" w:after="283"/>
        <w:ind w:left="0" w:right="0" w:firstLine="400"/>
        <w:jc w:val="left"/>
        <w:rPr>
          <w:color w:val="000000"/>
        </w:rPr>
      </w:pPr>
      <w:r>
        <w:rPr>
          <w:color w:val="000000"/>
        </w:rPr>
        <w:t>“</w:t>
      </w:r>
      <w:r>
        <w:rPr>
          <w:rFonts w:ascii="Times New Roman;Times;serif" w:hAnsi="Times New Roman;Times;serif"/>
          <w:color w:val="000000"/>
          <w:sz w:val="20"/>
        </w:rPr>
        <w:t xml:space="preserve">Event of Default” means with respect to any series of debt securities, any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tbl>
      <w:tblPr>
        <w:tblW w:w="6535" w:type="dxa"/>
        <w:jc w:val="left"/>
        <w:tblInd w:w="0" w:type="dxa"/>
        <w:tblLayout w:type="fixed"/>
        <w:tblCellMar>
          <w:top w:w="0" w:type="dxa"/>
          <w:left w:w="0" w:type="dxa"/>
          <w:bottom w:w="0" w:type="dxa"/>
          <w:right w:w="0" w:type="dxa"/>
        </w:tblCellMar>
      </w:tblPr>
      <w:tblGrid>
        <w:gridCol w:w="110"/>
        <w:gridCol w:w="6425"/>
      </w:tblGrid>
      <w:tr>
        <w:trPr/>
        <w:tc>
          <w:tcPr>
            <w:tcW w:w="110" w:type="dxa"/>
            <w:tcBorders/>
            <w:vAlign w:val="center"/>
          </w:tcPr>
          <w:p>
            <w:pPr>
              <w:pStyle w:val="TableContents"/>
              <w:bidi w:val="0"/>
              <w:spacing w:before="0" w:after="0"/>
              <w:jc w:val="left"/>
              <w:rPr>
                <w:color w:val="000000"/>
              </w:rPr>
            </w:pPr>
            <w:r>
              <w:rPr>
                <w:color w:val="000000"/>
              </w:rPr>
              <w:t>•</w:t>
            </w:r>
          </w:p>
        </w:tc>
        <w:tc>
          <w:tcPr>
            <w:tcW w:w="6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default in the payment of principal of any security of that series at its maturity;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tc>
      </w:tr>
    </w:tbl>
    <w:tbl>
      <w:tblPr>
        <w:tblW w:w="7810" w:type="dxa"/>
        <w:jc w:val="left"/>
        <w:tblInd w:w="0" w:type="dxa"/>
        <w:tblLayout w:type="fixed"/>
        <w:tblCellMar>
          <w:top w:w="0" w:type="dxa"/>
          <w:left w:w="0" w:type="dxa"/>
          <w:bottom w:w="0" w:type="dxa"/>
          <w:right w:w="0" w:type="dxa"/>
        </w:tblCellMar>
      </w:tblPr>
      <w:tblGrid>
        <w:gridCol w:w="110"/>
        <w:gridCol w:w="7700"/>
      </w:tblGrid>
      <w:tr>
        <w:trPr/>
        <w:tc>
          <w:tcPr>
            <w:tcW w:w="110" w:type="dxa"/>
            <w:tcBorders/>
            <w:vAlign w:val="center"/>
          </w:tcPr>
          <w:p>
            <w:pPr>
              <w:pStyle w:val="TableContents"/>
              <w:bidi w:val="0"/>
              <w:spacing w:before="0" w:after="0"/>
              <w:jc w:val="left"/>
              <w:rPr>
                <w:color w:val="000000"/>
              </w:rPr>
            </w:pPr>
            <w:r>
              <w:rPr>
                <w:color w:val="000000"/>
              </w:rPr>
              <w:t>•</w:t>
            </w:r>
          </w:p>
        </w:tc>
        <w:tc>
          <w:tcPr>
            <w:tcW w:w="7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voluntary or involuntary events of bankruptcy, insolvency or reorganization of us;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Event of Default provided with respect to debt securities of that series that is described in the applicable prospectus supplement.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82832x1_424b5_208-desc_pg5"/>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holder has previously given to the trustee written notice of a continuing Event of Default with respect to debt securities of that series;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Modification and Waiver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and the trustee may modify, amend or supplement the indenture or the debt securities of any series without the consent of any holder of any debt security: </w:t>
      </w:r>
    </w:p>
    <w:tbl>
      <w:tblPr>
        <w:tblW w:w="3985" w:type="dxa"/>
        <w:jc w:val="left"/>
        <w:tblInd w:w="0" w:type="dxa"/>
        <w:tblLayout w:type="fixed"/>
        <w:tblCellMar>
          <w:top w:w="0" w:type="dxa"/>
          <w:left w:w="0" w:type="dxa"/>
          <w:bottom w:w="0" w:type="dxa"/>
          <w:right w:w="0" w:type="dxa"/>
        </w:tblCellMar>
      </w:tblPr>
      <w:tblGrid>
        <w:gridCol w:w="110"/>
        <w:gridCol w:w="3875"/>
      </w:tblGrid>
      <w:tr>
        <w:trPr/>
        <w:tc>
          <w:tcPr>
            <w:tcW w:w="110" w:type="dxa"/>
            <w:tcBorders/>
            <w:vAlign w:val="center"/>
          </w:tcPr>
          <w:p>
            <w:pPr>
              <w:pStyle w:val="TableContents"/>
              <w:bidi w:val="0"/>
              <w:spacing w:before="0" w:after="0"/>
              <w:jc w:val="left"/>
              <w:rPr>
                <w:color w:val="000000"/>
              </w:rPr>
            </w:pPr>
            <w:r>
              <w:rPr>
                <w:color w:val="000000"/>
              </w:rPr>
              <w:t>•</w:t>
            </w:r>
          </w:p>
        </w:tc>
        <w:tc>
          <w:tcPr>
            <w:tcW w:w="38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cure any ambiguity, defect or inconsistency;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comply with covenants in the indenture described above under the heading“—Consolidation, Merger and Sale of Assets”; </w:t>
            </w:r>
          </w:p>
        </w:tc>
      </w:tr>
    </w:tbl>
    <w:tbl>
      <w:tblPr>
        <w:tblW w:w="7360" w:type="dxa"/>
        <w:jc w:val="left"/>
        <w:tblInd w:w="0" w:type="dxa"/>
        <w:tblLayout w:type="fixed"/>
        <w:tblCellMar>
          <w:top w:w="0" w:type="dxa"/>
          <w:left w:w="0" w:type="dxa"/>
          <w:bottom w:w="0" w:type="dxa"/>
          <w:right w:w="0" w:type="dxa"/>
        </w:tblCellMar>
      </w:tblPr>
      <w:tblGrid>
        <w:gridCol w:w="110"/>
        <w:gridCol w:w="7250"/>
      </w:tblGrid>
      <w:tr>
        <w:trPr/>
        <w:tc>
          <w:tcPr>
            <w:tcW w:w="110" w:type="dxa"/>
            <w:tcBorders/>
            <w:vAlign w:val="center"/>
          </w:tcPr>
          <w:p>
            <w:pPr>
              <w:pStyle w:val="TableContents"/>
              <w:bidi w:val="0"/>
              <w:spacing w:before="0" w:after="0"/>
              <w:jc w:val="left"/>
              <w:rPr>
                <w:color w:val="000000"/>
              </w:rPr>
            </w:pPr>
            <w:r>
              <w:rPr>
                <w:color w:val="000000"/>
              </w:rPr>
              <w:t>•</w:t>
            </w:r>
          </w:p>
        </w:tc>
        <w:tc>
          <w:tcPr>
            <w:tcW w:w="7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provide for uncertificated securities in addition to or in place of certificated securities; </w:t>
            </w:r>
          </w:p>
        </w:tc>
      </w:tr>
    </w:tbl>
    <w:tbl>
      <w:tblPr>
        <w:tblW w:w="8185" w:type="dxa"/>
        <w:jc w:val="left"/>
        <w:tblInd w:w="0" w:type="dxa"/>
        <w:tblLayout w:type="fixed"/>
        <w:tblCellMar>
          <w:top w:w="0" w:type="dxa"/>
          <w:left w:w="0" w:type="dxa"/>
          <w:bottom w:w="0" w:type="dxa"/>
          <w:right w:w="0" w:type="dxa"/>
        </w:tblCellMar>
      </w:tblPr>
      <w:tblGrid>
        <w:gridCol w:w="110"/>
        <w:gridCol w:w="8075"/>
      </w:tblGrid>
      <w:tr>
        <w:trPr/>
        <w:tc>
          <w:tcPr>
            <w:tcW w:w="11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add guarantees with respect to debt securities of any series or secure debt securities of any series; </w:t>
            </w:r>
          </w:p>
        </w:tc>
      </w:tr>
    </w:tbl>
    <w:tbl>
      <w:tblPr>
        <w:tblW w:w="5035" w:type="dxa"/>
        <w:jc w:val="left"/>
        <w:tblInd w:w="0" w:type="dxa"/>
        <w:tblLayout w:type="fixed"/>
        <w:tblCellMar>
          <w:top w:w="0" w:type="dxa"/>
          <w:left w:w="0" w:type="dxa"/>
          <w:bottom w:w="0" w:type="dxa"/>
          <w:right w:w="0" w:type="dxa"/>
        </w:tblCellMar>
      </w:tblPr>
      <w:tblGrid>
        <w:gridCol w:w="110"/>
        <w:gridCol w:w="4925"/>
      </w:tblGrid>
      <w:tr>
        <w:trPr/>
        <w:tc>
          <w:tcPr>
            <w:tcW w:w="110" w:type="dxa"/>
            <w:tcBorders/>
            <w:vAlign w:val="center"/>
          </w:tcPr>
          <w:p>
            <w:pPr>
              <w:pStyle w:val="TableContents"/>
              <w:bidi w:val="0"/>
              <w:spacing w:before="0" w:after="0"/>
              <w:jc w:val="left"/>
              <w:rPr>
                <w:color w:val="000000"/>
              </w:rPr>
            </w:pPr>
            <w:r>
              <w:rPr>
                <w:color w:val="000000"/>
              </w:rPr>
              <w:t>•</w:t>
            </w:r>
          </w:p>
        </w:tc>
        <w:tc>
          <w:tcPr>
            <w:tcW w:w="4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surrender any of our rights or powers under the indenture; </w:t>
            </w:r>
          </w:p>
        </w:tc>
      </w:tr>
    </w:tbl>
    <w:tbl>
      <w:tblPr>
        <w:tblW w:w="8035" w:type="dxa"/>
        <w:jc w:val="left"/>
        <w:tblInd w:w="0" w:type="dxa"/>
        <w:tblLayout w:type="fixed"/>
        <w:tblCellMar>
          <w:top w:w="0" w:type="dxa"/>
          <w:left w:w="0" w:type="dxa"/>
          <w:bottom w:w="0" w:type="dxa"/>
          <w:right w:w="0" w:type="dxa"/>
        </w:tblCellMar>
      </w:tblPr>
      <w:tblGrid>
        <w:gridCol w:w="110"/>
        <w:gridCol w:w="7925"/>
      </w:tblGrid>
      <w:tr>
        <w:trPr/>
        <w:tc>
          <w:tcPr>
            <w:tcW w:w="110" w:type="dxa"/>
            <w:tcBorders/>
            <w:vAlign w:val="center"/>
          </w:tcPr>
          <w:p>
            <w:pPr>
              <w:pStyle w:val="TableContents"/>
              <w:bidi w:val="0"/>
              <w:spacing w:before="0" w:after="0"/>
              <w:jc w:val="left"/>
              <w:rPr>
                <w:color w:val="000000"/>
              </w:rPr>
            </w:pPr>
            <w:r>
              <w:rPr>
                <w:color w:val="000000"/>
              </w:rPr>
              <w:t>•</w:t>
            </w:r>
          </w:p>
        </w:tc>
        <w:tc>
          <w:tcPr>
            <w:tcW w:w="7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add covenants or events of default for the benefit of the holders of debt securities of any series; </w:t>
            </w:r>
          </w:p>
        </w:tc>
      </w:tr>
    </w:tbl>
    <w:tbl>
      <w:tblPr>
        <w:tblW w:w="5905" w:type="dxa"/>
        <w:jc w:val="left"/>
        <w:tblInd w:w="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comply with the applicable procedures of the applicable depositary; </w:t>
            </w:r>
          </w:p>
        </w:tc>
      </w:tr>
    </w:tbl>
    <w:tbl>
      <w:tblPr>
        <w:tblW w:w="7630" w:type="dxa"/>
        <w:jc w:val="left"/>
        <w:tblInd w:w="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make any change that does not adversely affect the rights of any holder of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provide for the issuance of, and establish the form and terms and conditions of debt securities of, any series as permitted by the indenture;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comply with requirements of the SEC in order to effect or maintain the qualification of the indenture under the Trust Indenture Act.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tbl>
      <w:tblPr>
        <w:tblW w:w="8740" w:type="dxa"/>
        <w:jc w:val="left"/>
        <w:tblInd w:w="0" w:type="dxa"/>
        <w:tblLayout w:type="fixed"/>
        <w:tblCellMar>
          <w:top w:w="0" w:type="dxa"/>
          <w:left w:w="0" w:type="dxa"/>
          <w:bottom w:w="0" w:type="dxa"/>
          <w:right w:w="0" w:type="dxa"/>
        </w:tblCellMar>
      </w:tblPr>
      <w:tblGrid>
        <w:gridCol w:w="110"/>
        <w:gridCol w:w="8630"/>
      </w:tblGrid>
      <w:tr>
        <w:trPr/>
        <w:tc>
          <w:tcPr>
            <w:tcW w:w="110" w:type="dxa"/>
            <w:tcBorders/>
            <w:vAlign w:val="center"/>
          </w:tcPr>
          <w:p>
            <w:pPr>
              <w:pStyle w:val="TableContents"/>
              <w:bidi w:val="0"/>
              <w:spacing w:before="0" w:after="0"/>
              <w:jc w:val="left"/>
              <w:rPr>
                <w:color w:val="000000"/>
              </w:rPr>
            </w:pPr>
            <w:r>
              <w:rPr>
                <w:color w:val="000000"/>
              </w:rPr>
              <w:t>•</w:t>
            </w:r>
          </w:p>
        </w:tc>
        <w:tc>
          <w:tcPr>
            <w:tcW w:w="8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amount of debt securities whose holders must consent to an amendment, supplement or waiver; </w:t>
            </w:r>
          </w:p>
        </w:tc>
      </w:tr>
    </w:tbl>
    <w:tbl>
      <w:tblPr>
        <w:tblW w:w="8935" w:type="dxa"/>
        <w:jc w:val="left"/>
        <w:tblInd w:w="0" w:type="dxa"/>
        <w:tblLayout w:type="fixed"/>
        <w:tblCellMar>
          <w:top w:w="0" w:type="dxa"/>
          <w:left w:w="0" w:type="dxa"/>
          <w:bottom w:w="0" w:type="dxa"/>
          <w:right w:w="0" w:type="dxa"/>
        </w:tblCellMar>
      </w:tblPr>
      <w:tblGrid>
        <w:gridCol w:w="110"/>
        <w:gridCol w:w="8825"/>
      </w:tblGrid>
      <w:tr>
        <w:trPr/>
        <w:tc>
          <w:tcPr>
            <w:tcW w:w="110" w:type="dxa"/>
            <w:tcBorders/>
            <w:vAlign w:val="center"/>
          </w:tcPr>
          <w:p>
            <w:pPr>
              <w:pStyle w:val="TableContents"/>
              <w:bidi w:val="0"/>
              <w:spacing w:before="0" w:after="0"/>
              <w:jc w:val="left"/>
              <w:rPr>
                <w:color w:val="000000"/>
              </w:rPr>
            </w:pPr>
            <w:r>
              <w:rPr>
                <w:color w:val="000000"/>
              </w:rPr>
              <w:t>•</w:t>
            </w:r>
          </w:p>
        </w:tc>
        <w:tc>
          <w:tcPr>
            <w:tcW w:w="8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rate of or extend the time for payment of interest (including default interest) on any debt security;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82832x1_424b5_208-desc_pg6"/>
        <w:bookmarkEnd w:id="6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tbl>
      <w:tblPr>
        <w:tblW w:w="7420" w:type="dxa"/>
        <w:jc w:val="left"/>
        <w:tblInd w:w="0" w:type="dxa"/>
        <w:tblLayout w:type="fixed"/>
        <w:tblCellMar>
          <w:top w:w="0" w:type="dxa"/>
          <w:left w:w="0" w:type="dxa"/>
          <w:bottom w:w="0" w:type="dxa"/>
          <w:right w:w="0" w:type="dxa"/>
        </w:tblCellMar>
      </w:tblPr>
      <w:tblGrid>
        <w:gridCol w:w="110"/>
        <w:gridCol w:w="7310"/>
      </w:tblGrid>
      <w:tr>
        <w:trPr/>
        <w:tc>
          <w:tcPr>
            <w:tcW w:w="110" w:type="dxa"/>
            <w:tcBorders/>
            <w:vAlign w:val="center"/>
          </w:tcPr>
          <w:p>
            <w:pPr>
              <w:pStyle w:val="TableContents"/>
              <w:bidi w:val="0"/>
              <w:spacing w:before="0" w:after="0"/>
              <w:jc w:val="left"/>
              <w:rPr>
                <w:color w:val="000000"/>
              </w:rPr>
            </w:pPr>
            <w:r>
              <w:rPr>
                <w:color w:val="000000"/>
              </w:rPr>
              <w:t>•</w:t>
            </w:r>
          </w:p>
        </w:tc>
        <w:tc>
          <w:tcPr>
            <w:tcW w:w="7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principal amount of discount securities payable upon acceleration of maturity;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the principal of or premium or interest on any debt security payable in currency other than that stated in the debt security;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tbl>
      <w:tblPr>
        <w:tblW w:w="5230" w:type="dxa"/>
        <w:jc w:val="left"/>
        <w:tblInd w:w="0" w:type="dxa"/>
        <w:tblLayout w:type="fixed"/>
        <w:tblCellMar>
          <w:top w:w="0" w:type="dxa"/>
          <w:left w:w="0" w:type="dxa"/>
          <w:bottom w:w="0" w:type="dxa"/>
          <w:right w:w="0" w:type="dxa"/>
        </w:tblCellMar>
      </w:tblPr>
      <w:tblGrid>
        <w:gridCol w:w="110"/>
        <w:gridCol w:w="5120"/>
      </w:tblGrid>
      <w:tr>
        <w:trPr/>
        <w:tc>
          <w:tcPr>
            <w:tcW w:w="110" w:type="dxa"/>
            <w:tcBorders/>
            <w:vAlign w:val="center"/>
          </w:tcPr>
          <w:p>
            <w:pPr>
              <w:pStyle w:val="TableContents"/>
              <w:bidi w:val="0"/>
              <w:spacing w:before="0" w:after="0"/>
              <w:jc w:val="left"/>
              <w:rPr>
                <w:color w:val="000000"/>
              </w:rPr>
            </w:pPr>
            <w:r>
              <w:rPr>
                <w:color w:val="000000"/>
              </w:rPr>
              <w:t>•</w:t>
            </w:r>
          </w:p>
        </w:tc>
        <w:tc>
          <w:tcPr>
            <w:tcW w:w="5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waive a redemption payment with respect to any debt security.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Defeasance of Debt Securities and Certain Covenants in Certain Circumstances </w:t>
      </w:r>
    </w:p>
    <w:p>
      <w:pPr>
        <w:pStyle w:val="TextBody"/>
        <w:bidi w:val="0"/>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Legal Defeasance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will provide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Defeasance of Certain Covenants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will provide that, unless otherwise provided by the terms of the applicable series of debt securities, upon compliance with certain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omit to comply with the covenant described under the heading“—Consolidation, Merger and Sale of Assets” and certain other covenants set forth in the indenture, as well as any additional covenants which may be set forth in the applicable prospectus supplement;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omission to comply with those covenants will not constitute a Default or an Event of Default with respect to the debt securities of that series.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82832x1_424b5_208-desc_pg7"/>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refer to this as covenant defeasance. The conditions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such deposit will not result in a breach or violation of, or constitute a default under the indenture or any other agreement to which we are a party;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Default or Event of Default with respect to the applicable series of debt securities shall have occurred or is continuing on the date of such deposit;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Personal Liability of Directors, Officers, Employees or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Governing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82832x1_424b5_208-desc_pg8"/>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4" w:name="tDDS"/>
      <w:bookmarkEnd w:id="64"/>
      <w:r>
        <w:rPr>
          <w:rFonts w:ascii="Times New Roman;Times;serif" w:hAnsi="Times New Roman;Times;serif"/>
          <w:b/>
          <w:color w:val="000000"/>
          <w:sz w:val="20"/>
        </w:rPr>
        <w:t xml:space="preserve">DESCRIPTION OF DEPOSITARY SHARES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depositary shares representing a fractional interest in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and Other Distributions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Liquidation Preference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Withdrawal of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Redemption of Depositary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82832x1_424b5_208-desc_pg9"/>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the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Charges of the Depositary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and Termination of the Deposit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 </w:t>
      </w:r>
    </w:p>
    <w:tbl>
      <w:tblPr>
        <w:tblW w:w="4810" w:type="dxa"/>
        <w:jc w:val="left"/>
        <w:tblInd w:w="0" w:type="dxa"/>
        <w:tblLayout w:type="fixed"/>
        <w:tblCellMar>
          <w:top w:w="0" w:type="dxa"/>
          <w:left w:w="0" w:type="dxa"/>
          <w:bottom w:w="0" w:type="dxa"/>
          <w:right w:w="0" w:type="dxa"/>
        </w:tblCellMar>
      </w:tblPr>
      <w:tblGrid>
        <w:gridCol w:w="110"/>
        <w:gridCol w:w="4700"/>
      </w:tblGrid>
      <w:tr>
        <w:trPr/>
        <w:tc>
          <w:tcPr>
            <w:tcW w:w="110" w:type="dxa"/>
            <w:tcBorders/>
            <w:vAlign w:val="center"/>
          </w:tcPr>
          <w:p>
            <w:pPr>
              <w:pStyle w:val="TableContents"/>
              <w:bidi w:val="0"/>
              <w:spacing w:before="0" w:after="0"/>
              <w:jc w:val="left"/>
              <w:rPr>
                <w:color w:val="000000"/>
              </w:rPr>
            </w:pPr>
            <w:r>
              <w:rPr>
                <w:color w:val="000000"/>
              </w:rPr>
              <w:t>•</w:t>
            </w:r>
          </w:p>
        </w:tc>
        <w:tc>
          <w:tcPr>
            <w:tcW w:w="4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outstanding depositary shares have been redeemed;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there has been a final distribution of the preferred stock in connection with our dissolution and such distribution has been made to all the holders of depositary shares. </w:t>
            </w:r>
          </w:p>
        </w:tc>
      </w:tr>
    </w:tbl>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Resignation and Removal of Depositary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82832x1_424b5_208-desc_pg10"/>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 of Liability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 </w:t>
      </w:r>
    </w:p>
    <w:p>
      <w:pPr>
        <w:pStyle w:val="TextBody"/>
        <w:bidi w:val="0"/>
        <w:spacing w:before="400" w:after="283"/>
        <w:jc w:val="center"/>
        <w:rPr>
          <w:rFonts w:ascii="Times New Roman;Times;serif" w:hAnsi="Times New Roman;Times;serif"/>
          <w:b/>
          <w:color w:val="000000"/>
          <w:sz w:val="20"/>
        </w:rPr>
      </w:pPr>
      <w:bookmarkStart w:id="67" w:name="tDW"/>
      <w:bookmarkEnd w:id="67"/>
      <w:r>
        <w:rPr>
          <w:rFonts w:ascii="Times New Roman;Times;serif" w:hAnsi="Times New Roman;Times;serif"/>
          <w:b/>
          <w:color w:val="000000"/>
          <w:sz w:val="20"/>
        </w:rPr>
        <w:t xml:space="preserve">DESCRIPTION OF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warrants to purchase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 </w:t>
      </w:r>
    </w:p>
    <w:tbl>
      <w:tblPr>
        <w:tblW w:w="8935" w:type="dxa"/>
        <w:jc w:val="left"/>
        <w:tblInd w:w="0" w:type="dxa"/>
        <w:tblLayout w:type="fixed"/>
        <w:tblCellMar>
          <w:top w:w="0" w:type="dxa"/>
          <w:left w:w="0" w:type="dxa"/>
          <w:bottom w:w="0" w:type="dxa"/>
          <w:right w:w="0" w:type="dxa"/>
        </w:tblCellMar>
      </w:tblPr>
      <w:tblGrid>
        <w:gridCol w:w="110"/>
        <w:gridCol w:w="8825"/>
      </w:tblGrid>
      <w:tr>
        <w:trPr/>
        <w:tc>
          <w:tcPr>
            <w:tcW w:w="110" w:type="dxa"/>
            <w:tcBorders/>
            <w:vAlign w:val="center"/>
          </w:tcPr>
          <w:p>
            <w:pPr>
              <w:pStyle w:val="TableContents"/>
              <w:bidi w:val="0"/>
              <w:spacing w:before="0" w:after="0"/>
              <w:jc w:val="left"/>
              <w:rPr>
                <w:color w:val="000000"/>
              </w:rPr>
            </w:pPr>
            <w:r>
              <w:rPr>
                <w:color w:val="000000"/>
              </w:rPr>
              <w:t>•</w:t>
            </w:r>
          </w:p>
        </w:tc>
        <w:tc>
          <w:tcPr>
            <w:tcW w:w="8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specific designation and aggregate number of, and the offering price at which we will issue, the warrants; </w:t>
            </w:r>
          </w:p>
        </w:tc>
      </w:tr>
    </w:tbl>
    <w:tbl>
      <w:tblPr>
        <w:tblW w:w="8215" w:type="dxa"/>
        <w:jc w:val="left"/>
        <w:tblInd w:w="0" w:type="dxa"/>
        <w:tblLayout w:type="fixed"/>
        <w:tblCellMar>
          <w:top w:w="0" w:type="dxa"/>
          <w:left w:w="0" w:type="dxa"/>
          <w:bottom w:w="0" w:type="dxa"/>
          <w:right w:w="0" w:type="dxa"/>
        </w:tblCellMar>
      </w:tblPr>
      <w:tblGrid>
        <w:gridCol w:w="110"/>
        <w:gridCol w:w="8105"/>
      </w:tblGrid>
      <w:tr>
        <w:trPr/>
        <w:tc>
          <w:tcPr>
            <w:tcW w:w="110" w:type="dxa"/>
            <w:tcBorders/>
            <w:vAlign w:val="center"/>
          </w:tcPr>
          <w:p>
            <w:pPr>
              <w:pStyle w:val="TableContents"/>
              <w:bidi w:val="0"/>
              <w:spacing w:before="0" w:after="0"/>
              <w:jc w:val="left"/>
              <w:rPr>
                <w:color w:val="000000"/>
              </w:rPr>
            </w:pPr>
            <w:r>
              <w:rPr>
                <w:color w:val="000000"/>
              </w:rPr>
              <w:t>•</w:t>
            </w:r>
          </w:p>
        </w:tc>
        <w:tc>
          <w:tcPr>
            <w:tcW w:w="8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currency or currency units in which the offering price, if any, and the exercise price are payable;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tbl>
      <w:tblPr>
        <w:tblW w:w="7090" w:type="dxa"/>
        <w:jc w:val="left"/>
        <w:tblInd w:w="0" w:type="dxa"/>
        <w:tblLayout w:type="fixed"/>
        <w:tblCellMar>
          <w:top w:w="0" w:type="dxa"/>
          <w:left w:w="0" w:type="dxa"/>
          <w:bottom w:w="0" w:type="dxa"/>
          <w:right w:w="0" w:type="dxa"/>
        </w:tblCellMar>
      </w:tblPr>
      <w:tblGrid>
        <w:gridCol w:w="110"/>
        <w:gridCol w:w="6980"/>
      </w:tblGrid>
      <w:tr>
        <w:trPr/>
        <w:tc>
          <w:tcPr>
            <w:tcW w:w="110" w:type="dxa"/>
            <w:tcBorders/>
            <w:vAlign w:val="center"/>
          </w:tcPr>
          <w:p>
            <w:pPr>
              <w:pStyle w:val="TableContents"/>
              <w:bidi w:val="0"/>
              <w:spacing w:before="0" w:after="0"/>
              <w:jc w:val="left"/>
              <w:rPr>
                <w:color w:val="000000"/>
              </w:rPr>
            </w:pPr>
            <w:r>
              <w:rPr>
                <w:color w:val="000000"/>
              </w:rPr>
              <w:t>•</w:t>
            </w:r>
          </w:p>
        </w:tc>
        <w:tc>
          <w:tcPr>
            <w:tcW w:w="6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warrants are to be sold separately or with other securities as parts of units;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tbl>
      <w:tblPr>
        <w:tblW w:w="5230" w:type="dxa"/>
        <w:jc w:val="left"/>
        <w:tblInd w:w="0" w:type="dxa"/>
        <w:tblLayout w:type="fixed"/>
        <w:tblCellMar>
          <w:top w:w="0" w:type="dxa"/>
          <w:left w:w="0" w:type="dxa"/>
          <w:bottom w:w="0" w:type="dxa"/>
          <w:right w:w="0" w:type="dxa"/>
        </w:tblCellMar>
      </w:tblPr>
      <w:tblGrid>
        <w:gridCol w:w="110"/>
        <w:gridCol w:w="5120"/>
      </w:tblGrid>
      <w:tr>
        <w:trPr/>
        <w:tc>
          <w:tcPr>
            <w:tcW w:w="110" w:type="dxa"/>
            <w:tcBorders/>
            <w:vAlign w:val="center"/>
          </w:tcPr>
          <w:p>
            <w:pPr>
              <w:pStyle w:val="TableContents"/>
              <w:bidi w:val="0"/>
              <w:spacing w:before="0" w:after="0"/>
              <w:jc w:val="left"/>
              <w:rPr>
                <w:color w:val="000000"/>
              </w:rPr>
            </w:pPr>
            <w:r>
              <w:rPr>
                <w:color w:val="000000"/>
              </w:rPr>
              <w:t>•</w:t>
            </w:r>
          </w:p>
        </w:tc>
        <w:tc>
          <w:tcPr>
            <w:tcW w:w="5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applicable material U.S. federal income tax consequences;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identity of the warrant agent for the warrants and of any other depositaries, execution or paying agents, transfer agents, registrars or other agents;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proposed listing, if any, of the warrants or any securities purchasable upon exercise of the warrants on any securities exchange;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designation and terms of the debt securities, preferred stock, depositary shares or common stock with which the warrants are issued and the number of warrants issued with each security;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date from and after which any warrants issued as part of a unit and the related debt securities, preferred stock, depositary shares or common stock will be separately transferable;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common stock purchasable upon exercise of a warrant and the price at which those shares may be purchased;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minimum or maximum amount of the warrants that may be exercised at any one time; </w:t>
            </w:r>
          </w:p>
        </w:tc>
      </w:tr>
    </w:tbl>
    <w:tbl>
      <w:tblPr>
        <w:tblW w:w="4855" w:type="dxa"/>
        <w:jc w:val="left"/>
        <w:tblInd w:w="0" w:type="dxa"/>
        <w:tblLayout w:type="fixed"/>
        <w:tblCellMar>
          <w:top w:w="0" w:type="dxa"/>
          <w:left w:w="0" w:type="dxa"/>
          <w:bottom w:w="0" w:type="dxa"/>
          <w:right w:w="0" w:type="dxa"/>
        </w:tblCellMar>
      </w:tblPr>
      <w:tblGrid>
        <w:gridCol w:w="110"/>
        <w:gridCol w:w="4745"/>
      </w:tblGrid>
      <w:tr>
        <w:trPr/>
        <w:tc>
          <w:tcPr>
            <w:tcW w:w="11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information with respect to book-entry procedures, if 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82832x1_424b5_208-desc_pg11"/>
        <w:bookmarkEnd w:id="68"/>
        <w:r>
          <w:rPr>
            <w:rStyle w:val="InternetLink"/>
            <w:rFonts w:ascii="Times New Roman;Times;Serif" w:hAnsi="Times New Roman;Times;Serif"/>
            <w:b/>
            <w:caps w:val="false"/>
            <w:smallCaps w:val="false"/>
            <w:color w:val="000000"/>
            <w:sz w:val="16"/>
          </w:rPr>
          <w:t>TABLE OF CONTENTS</w:t>
        </w:r>
      </w:hyperlink>
    </w:p>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antidilution provisions, and other provisions for changes to or adjustment in the exercise price, of the warrants, if any; </w:t>
            </w:r>
          </w:p>
        </w:tc>
      </w:tr>
    </w:tbl>
    <w:tbl>
      <w:tblPr>
        <w:tblW w:w="3310" w:type="dxa"/>
        <w:jc w:val="left"/>
        <w:tblInd w:w="0" w:type="dxa"/>
        <w:tblLayout w:type="fixed"/>
        <w:tblCellMar>
          <w:top w:w="0" w:type="dxa"/>
          <w:left w:w="0" w:type="dxa"/>
          <w:bottom w:w="0" w:type="dxa"/>
          <w:right w:w="0" w:type="dxa"/>
        </w:tblCellMar>
      </w:tblPr>
      <w:tblGrid>
        <w:gridCol w:w="110"/>
        <w:gridCol w:w="3200"/>
      </w:tblGrid>
      <w:tr>
        <w:trPr/>
        <w:tc>
          <w:tcPr>
            <w:tcW w:w="11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redemption or call provisions;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additional terms of the warrants, including terms, procedures and limitations relating to the exchange or exercise of the warrants. </w:t>
            </w:r>
          </w:p>
        </w:tc>
      </w:tr>
    </w:tbl>
    <w:p>
      <w:pPr>
        <w:pStyle w:val="TextBody"/>
        <w:bidi w:val="0"/>
        <w:spacing w:before="290" w:after="283"/>
        <w:jc w:val="center"/>
        <w:rPr>
          <w:rFonts w:ascii="Times New Roman;Times;serif" w:hAnsi="Times New Roman;Times;serif"/>
          <w:b/>
          <w:color w:val="000000"/>
          <w:sz w:val="20"/>
        </w:rPr>
      </w:pPr>
      <w:bookmarkStart w:id="69" w:name="tDSR"/>
      <w:bookmarkEnd w:id="69"/>
      <w:r>
        <w:rPr>
          <w:rFonts w:ascii="Times New Roman;Times;serif" w:hAnsi="Times New Roman;Times;serif"/>
          <w:b/>
          <w:color w:val="000000"/>
          <w:sz w:val="20"/>
        </w:rPr>
        <w:t xml:space="preserve">DESCRIPTION OF SUBSCRIPTION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subscription rights to purchase our common stock.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prospectus supplement relating to any subscription rights we offer, if any, will, to the extent applicable, include specific terms relating to the offering, including some or all of the following: </w:t>
      </w:r>
    </w:p>
    <w:tbl>
      <w:tblPr>
        <w:tblW w:w="3670" w:type="dxa"/>
        <w:jc w:val="left"/>
        <w:tblInd w:w="0" w:type="dxa"/>
        <w:tblLayout w:type="fixed"/>
        <w:tblCellMar>
          <w:top w:w="0" w:type="dxa"/>
          <w:left w:w="0" w:type="dxa"/>
          <w:bottom w:w="0" w:type="dxa"/>
          <w:right w:w="0" w:type="dxa"/>
        </w:tblCellMar>
      </w:tblPr>
      <w:tblGrid>
        <w:gridCol w:w="110"/>
        <w:gridCol w:w="3560"/>
      </w:tblGrid>
      <w:tr>
        <w:trPr/>
        <w:tc>
          <w:tcPr>
            <w:tcW w:w="110" w:type="dxa"/>
            <w:tcBorders/>
            <w:vAlign w:val="center"/>
          </w:tcPr>
          <w:p>
            <w:pPr>
              <w:pStyle w:val="TableContents"/>
              <w:bidi w:val="0"/>
              <w:spacing w:before="0" w:after="0"/>
              <w:jc w:val="left"/>
              <w:rPr>
                <w:color w:val="000000"/>
              </w:rPr>
            </w:pPr>
            <w:r>
              <w:rPr>
                <w:color w:val="000000"/>
              </w:rPr>
              <w:t>•</w:t>
            </w:r>
          </w:p>
        </w:tc>
        <w:tc>
          <w:tcPr>
            <w:tcW w:w="3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 if any, for the subscription rights; </w:t>
            </w:r>
          </w:p>
        </w:tc>
      </w:tr>
    </w:tbl>
    <w:tbl>
      <w:tblPr>
        <w:tblW w:w="7690" w:type="dxa"/>
        <w:jc w:val="left"/>
        <w:tblInd w:w="0" w:type="dxa"/>
        <w:tblLayout w:type="fixed"/>
        <w:tblCellMar>
          <w:top w:w="0" w:type="dxa"/>
          <w:left w:w="0" w:type="dxa"/>
          <w:bottom w:w="0" w:type="dxa"/>
          <w:right w:w="0" w:type="dxa"/>
        </w:tblCellMar>
      </w:tblPr>
      <w:tblGrid>
        <w:gridCol w:w="110"/>
        <w:gridCol w:w="7580"/>
      </w:tblGrid>
      <w:tr>
        <w:trPr/>
        <w:tc>
          <w:tcPr>
            <w:tcW w:w="110" w:type="dxa"/>
            <w:tcBorders/>
            <w:vAlign w:val="center"/>
          </w:tcPr>
          <w:p>
            <w:pPr>
              <w:pStyle w:val="TableContents"/>
              <w:bidi w:val="0"/>
              <w:spacing w:before="0" w:after="0"/>
              <w:jc w:val="left"/>
              <w:rPr>
                <w:color w:val="000000"/>
              </w:rPr>
            </w:pPr>
            <w:r>
              <w:rPr>
                <w:color w:val="000000"/>
              </w:rPr>
              <w:t>•</w:t>
            </w:r>
          </w:p>
        </w:tc>
        <w:tc>
          <w:tcPr>
            <w:tcW w:w="7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exercise price payable for our common stock upon the exercise of the subscription rights; </w:t>
            </w:r>
          </w:p>
        </w:tc>
      </w:tr>
    </w:tbl>
    <w:tbl>
      <w:tblPr>
        <w:tblW w:w="5560" w:type="dxa"/>
        <w:jc w:val="left"/>
        <w:tblInd w:w="0" w:type="dxa"/>
        <w:tblLayout w:type="fixed"/>
        <w:tblCellMar>
          <w:top w:w="0" w:type="dxa"/>
          <w:left w:w="0" w:type="dxa"/>
          <w:bottom w:w="0" w:type="dxa"/>
          <w:right w:w="0" w:type="dxa"/>
        </w:tblCellMar>
      </w:tblPr>
      <w:tblGrid>
        <w:gridCol w:w="110"/>
        <w:gridCol w:w="5450"/>
      </w:tblGrid>
      <w:tr>
        <w:trPr/>
        <w:tc>
          <w:tcPr>
            <w:tcW w:w="11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subscription rights to be issued to each stockholder; </w:t>
            </w:r>
          </w:p>
        </w:tc>
      </w:tr>
    </w:tbl>
    <w:tbl>
      <w:tblPr>
        <w:tblW w:w="7975" w:type="dxa"/>
        <w:jc w:val="left"/>
        <w:tblInd w:w="0" w:type="dxa"/>
        <w:tblLayout w:type="fixed"/>
        <w:tblCellMar>
          <w:top w:w="0" w:type="dxa"/>
          <w:left w:w="0" w:type="dxa"/>
          <w:bottom w:w="0" w:type="dxa"/>
          <w:right w:w="0" w:type="dxa"/>
        </w:tblCellMar>
      </w:tblPr>
      <w:tblGrid>
        <w:gridCol w:w="110"/>
        <w:gridCol w:w="7865"/>
      </w:tblGrid>
      <w:tr>
        <w:trPr/>
        <w:tc>
          <w:tcPr>
            <w:tcW w:w="110" w:type="dxa"/>
            <w:tcBorders/>
            <w:vAlign w:val="center"/>
          </w:tcPr>
          <w:p>
            <w:pPr>
              <w:pStyle w:val="TableContents"/>
              <w:bidi w:val="0"/>
              <w:spacing w:before="0" w:after="0"/>
              <w:jc w:val="left"/>
              <w:rPr>
                <w:color w:val="000000"/>
              </w:rPr>
            </w:pPr>
            <w:r>
              <w:rPr>
                <w:color w:val="000000"/>
              </w:rPr>
              <w:t>•</w:t>
            </w:r>
          </w:p>
        </w:tc>
        <w:tc>
          <w:tcPr>
            <w:tcW w:w="7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and terms of our common stock which may be purchased per each subscription right; </w:t>
            </w:r>
          </w:p>
        </w:tc>
      </w:tr>
    </w:tbl>
    <w:tbl>
      <w:tblPr>
        <w:tblW w:w="4930" w:type="dxa"/>
        <w:jc w:val="left"/>
        <w:tblInd w:w="0" w:type="dxa"/>
        <w:tblLayout w:type="fixed"/>
        <w:tblCellMar>
          <w:top w:w="0" w:type="dxa"/>
          <w:left w:w="0" w:type="dxa"/>
          <w:bottom w:w="0" w:type="dxa"/>
          <w:right w:w="0" w:type="dxa"/>
        </w:tblCellMar>
      </w:tblPr>
      <w:tblGrid>
        <w:gridCol w:w="110"/>
        <w:gridCol w:w="4820"/>
      </w:tblGrid>
      <w:tr>
        <w:trPr/>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extent to which the subscription rights are transferable;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terms of the subscription rights, including the terms, procedures and limitations relating to the exchange and exercise of the subscription rights;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on which the right to exercise the subscription rights shall commence, and the date on which the subscription rights shall expire;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extent to which the subscription rights may include an over-subscription privilege with respect to unsubscribed securities or an over-allotment privilege to the extent the securities are fully subscribed;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material terms of any standby underwriting or purchase arrangement which may be entered into by us in connection with the offering of subscription rights.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titled “Where You Can Find More Information.” </w:t>
      </w:r>
    </w:p>
    <w:p>
      <w:pPr>
        <w:pStyle w:val="TextBody"/>
        <w:bidi w:val="0"/>
        <w:spacing w:before="290" w:after="283"/>
        <w:jc w:val="center"/>
        <w:rPr>
          <w:rFonts w:ascii="Times New Roman;Times;serif" w:hAnsi="Times New Roman;Times;serif"/>
          <w:b/>
          <w:color w:val="000000"/>
          <w:sz w:val="20"/>
        </w:rPr>
      </w:pPr>
      <w:bookmarkStart w:id="70" w:name="tDPC"/>
      <w:bookmarkEnd w:id="70"/>
      <w:r>
        <w:rPr>
          <w:rFonts w:ascii="Times New Roman;Times;serif" w:hAnsi="Times New Roman;Times;serif"/>
          <w:b/>
          <w:color w:val="000000"/>
          <w:sz w:val="20"/>
        </w:rPr>
        <w:t xml:space="preserve">DESCRIPTION OF PURCHASE CONTRACTS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incorporate by reference into the registration statement of which this prospectus is a part the form of any purchase contract that we may offer under this prospectus before the sale of the related purchase contract. We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82832x1_424b5_208-desc_pg12"/>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offer any purchase contracts, certain terms of that series of purchase contracts will be described in the applicable prospectus supplement, including, without limitation,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 of the securities or other property subject to the purchase contracts (which may be determined by reference to a specific formula described in the purchase contracts);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purchase contracts are issued separately, or as a part of units each consisting of a purchase contract and one or more of our other securities, including U.S. Treasury securities, securing the holder’s obligations under the purchase contract;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requirement for us to make periodic payments to holders or vice versa, and whether the payments are unsecured or pre-funded; </w:t>
            </w:r>
          </w:p>
        </w:tc>
      </w:tr>
    </w:tbl>
    <w:tbl>
      <w:tblPr>
        <w:tblW w:w="6250" w:type="dxa"/>
        <w:jc w:val="left"/>
        <w:tblInd w:w="0" w:type="dxa"/>
        <w:tblLayout w:type="fixed"/>
        <w:tblCellMar>
          <w:top w:w="0" w:type="dxa"/>
          <w:left w:w="0" w:type="dxa"/>
          <w:bottom w:w="0" w:type="dxa"/>
          <w:right w:w="0" w:type="dxa"/>
        </w:tblCellMar>
      </w:tblPr>
      <w:tblGrid>
        <w:gridCol w:w="110"/>
        <w:gridCol w:w="6140"/>
      </w:tblGrid>
      <w:tr>
        <w:trPr/>
        <w:tc>
          <w:tcPr>
            <w:tcW w:w="110" w:type="dxa"/>
            <w:tcBorders/>
            <w:vAlign w:val="center"/>
          </w:tcPr>
          <w:p>
            <w:pPr>
              <w:pStyle w:val="TableContents"/>
              <w:bidi w:val="0"/>
              <w:spacing w:before="0" w:after="0"/>
              <w:jc w:val="left"/>
              <w:rPr>
                <w:color w:val="000000"/>
              </w:rPr>
            </w:pPr>
            <w:r>
              <w:rPr>
                <w:color w:val="000000"/>
              </w:rPr>
              <w:t>•</w:t>
            </w:r>
          </w:p>
        </w:tc>
        <w:tc>
          <w:tcPr>
            <w:tcW w:w="6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provisions relating to any security provided for the purchase contracts;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purchase contracts obligate the holder or us to purchase or sell, or both purchase and sell, the securities subject to purchase under the purchase contract, and the nature and amount of each of those securities, or the method of determining those amounts; </w:t>
            </w:r>
          </w:p>
        </w:tc>
      </w:tr>
    </w:tbl>
    <w:tbl>
      <w:tblPr>
        <w:tblW w:w="4645" w:type="dxa"/>
        <w:jc w:val="left"/>
        <w:tblInd w:w="0" w:type="dxa"/>
        <w:tblLayout w:type="fixed"/>
        <w:tblCellMar>
          <w:top w:w="0" w:type="dxa"/>
          <w:left w:w="0" w:type="dxa"/>
          <w:bottom w:w="0" w:type="dxa"/>
          <w:right w:w="0" w:type="dxa"/>
        </w:tblCellMar>
      </w:tblPr>
      <w:tblGrid>
        <w:gridCol w:w="110"/>
        <w:gridCol w:w="4535"/>
      </w:tblGrid>
      <w:tr>
        <w:trPr/>
        <w:tc>
          <w:tcPr>
            <w:tcW w:w="110" w:type="dxa"/>
            <w:tcBorders/>
            <w:vAlign w:val="center"/>
          </w:tcPr>
          <w:p>
            <w:pPr>
              <w:pStyle w:val="TableContents"/>
              <w:bidi w:val="0"/>
              <w:spacing w:before="0" w:after="0"/>
              <w:jc w:val="left"/>
              <w:rPr>
                <w:color w:val="000000"/>
              </w:rPr>
            </w:pPr>
            <w:r>
              <w:rPr>
                <w:color w:val="000000"/>
              </w:rPr>
              <w:t>•</w:t>
            </w:r>
          </w:p>
        </w:tc>
        <w:tc>
          <w:tcPr>
            <w:tcW w:w="4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purchase contracts are to be prepaid or not;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purchase contracts are to be settled by delivery, or by reference or linkage to the value, performance or level of the securities subject to purchase under the purchase contract; </w:t>
            </w:r>
          </w:p>
        </w:tc>
      </w:tr>
    </w:tbl>
    <w:tbl>
      <w:tblPr>
        <w:tblW w:w="9400" w:type="dxa"/>
        <w:jc w:val="left"/>
        <w:tblInd w:w="0" w:type="dxa"/>
        <w:tblLayout w:type="fixed"/>
        <w:tblCellMar>
          <w:top w:w="0" w:type="dxa"/>
          <w:left w:w="0" w:type="dxa"/>
          <w:bottom w:w="0" w:type="dxa"/>
          <w:right w:w="0" w:type="dxa"/>
        </w:tblCellMar>
      </w:tblPr>
      <w:tblGrid>
        <w:gridCol w:w="110"/>
        <w:gridCol w:w="9290"/>
      </w:tblGrid>
      <w:tr>
        <w:trPr/>
        <w:tc>
          <w:tcPr>
            <w:tcW w:w="11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acceleration, cancellation, termination or other provisions relating to the settlement of the purchase contracts; </w:t>
            </w:r>
          </w:p>
        </w:tc>
      </w:tr>
    </w:tbl>
    <w:tbl>
      <w:tblPr>
        <w:tblW w:w="8140" w:type="dxa"/>
        <w:jc w:val="left"/>
        <w:tblInd w:w="0" w:type="dxa"/>
        <w:tblLayout w:type="fixed"/>
        <w:tblCellMar>
          <w:top w:w="0" w:type="dxa"/>
          <w:left w:w="0" w:type="dxa"/>
          <w:bottom w:w="0" w:type="dxa"/>
          <w:right w:w="0" w:type="dxa"/>
        </w:tblCellMar>
      </w:tblPr>
      <w:tblGrid>
        <w:gridCol w:w="110"/>
        <w:gridCol w:w="8030"/>
      </w:tblGrid>
      <w:tr>
        <w:trPr/>
        <w:tc>
          <w:tcPr>
            <w:tcW w:w="110" w:type="dxa"/>
            <w:tcBorders/>
            <w:vAlign w:val="center"/>
          </w:tcPr>
          <w:p>
            <w:pPr>
              <w:pStyle w:val="TableContents"/>
              <w:bidi w:val="0"/>
              <w:spacing w:before="0" w:after="0"/>
              <w:jc w:val="left"/>
              <w:rPr>
                <w:color w:val="000000"/>
              </w:rPr>
            </w:pPr>
            <w:r>
              <w:rPr>
                <w:color w:val="000000"/>
              </w:rPr>
              <w:t>•</w:t>
            </w:r>
          </w:p>
        </w:tc>
        <w:tc>
          <w:tcPr>
            <w:tcW w:w="8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discussion of certain U.S. federal income tax considerations applicable to the purchase contracts; </w:t>
            </w:r>
          </w:p>
        </w:tc>
      </w:tr>
    </w:tbl>
    <w:tbl>
      <w:tblPr>
        <w:tblW w:w="6910" w:type="dxa"/>
        <w:jc w:val="left"/>
        <w:tblInd w:w="0" w:type="dxa"/>
        <w:tblLayout w:type="fixed"/>
        <w:tblCellMar>
          <w:top w:w="0" w:type="dxa"/>
          <w:left w:w="0" w:type="dxa"/>
          <w:bottom w:w="0" w:type="dxa"/>
          <w:right w:w="0" w:type="dxa"/>
        </w:tblCellMar>
      </w:tblPr>
      <w:tblGrid>
        <w:gridCol w:w="110"/>
        <w:gridCol w:w="6800"/>
      </w:tblGrid>
      <w:tr>
        <w:trPr/>
        <w:tc>
          <w:tcPr>
            <w:tcW w:w="110" w:type="dxa"/>
            <w:tcBorders/>
            <w:vAlign w:val="center"/>
          </w:tcPr>
          <w:p>
            <w:pPr>
              <w:pStyle w:val="TableContents"/>
              <w:bidi w:val="0"/>
              <w:spacing w:before="0" w:after="0"/>
              <w:jc w:val="left"/>
              <w:rPr>
                <w:color w:val="000000"/>
              </w:rPr>
            </w:pPr>
            <w:r>
              <w:rPr>
                <w:color w:val="000000"/>
              </w:rPr>
              <w:t>•</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purchase contracts will be issued in fully registered or global form; and </w:t>
            </w:r>
          </w:p>
        </w:tc>
      </w:tr>
    </w:tbl>
    <w:tbl>
      <w:tblPr>
        <w:tblW w:w="7825" w:type="dxa"/>
        <w:jc w:val="left"/>
        <w:tblInd w:w="0" w:type="dxa"/>
        <w:tblLayout w:type="fixed"/>
        <w:tblCellMar>
          <w:top w:w="0" w:type="dxa"/>
          <w:left w:w="0" w:type="dxa"/>
          <w:bottom w:w="0" w:type="dxa"/>
          <w:right w:w="0" w:type="dxa"/>
        </w:tblCellMar>
      </w:tblPr>
      <w:tblGrid>
        <w:gridCol w:w="110"/>
        <w:gridCol w:w="7715"/>
      </w:tblGrid>
      <w:tr>
        <w:trPr/>
        <w:tc>
          <w:tcPr>
            <w:tcW w:w="110" w:type="dxa"/>
            <w:tcBorders/>
            <w:vAlign w:val="center"/>
          </w:tcPr>
          <w:p>
            <w:pPr>
              <w:pStyle w:val="TableContents"/>
              <w:bidi w:val="0"/>
              <w:spacing w:before="0" w:after="0"/>
              <w:jc w:val="left"/>
              <w:rPr>
                <w:color w:val="000000"/>
              </w:rPr>
            </w:pPr>
            <w:r>
              <w:rPr>
                <w:color w:val="000000"/>
              </w:rPr>
              <w:t>•</w:t>
            </w:r>
          </w:p>
        </w:tc>
        <w:tc>
          <w:tcPr>
            <w:tcW w:w="7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terms of the purchase contracts and any securities subject to such purchase contracts. </w:t>
            </w:r>
          </w:p>
        </w:tc>
      </w:tr>
    </w:tbl>
    <w:p>
      <w:pPr>
        <w:pStyle w:val="TextBody"/>
        <w:bidi w:val="0"/>
        <w:spacing w:before="410" w:after="283"/>
        <w:jc w:val="center"/>
        <w:rPr>
          <w:rFonts w:ascii="Times New Roman;Times;serif" w:hAnsi="Times New Roman;Times;serif"/>
          <w:b/>
          <w:color w:val="000000"/>
          <w:sz w:val="20"/>
        </w:rPr>
      </w:pPr>
      <w:bookmarkStart w:id="72" w:name="tDU"/>
      <w:bookmarkEnd w:id="72"/>
      <w:r>
        <w:rPr>
          <w:rFonts w:ascii="Times New Roman;Times;serif" w:hAnsi="Times New Roman;Times;serif"/>
          <w:b/>
          <w:color w:val="000000"/>
          <w:sz w:val="20"/>
        </w:rPr>
        <w:t xml:space="preserve">DESCRIPTION OF UNITS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titled “Where You Can Find More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82832x1_424b5_208-desc_pg13"/>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prospectus supplement relating to any particular issuance of units will describe the terms of those units, including, to the extent applicable,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designation and terms of the units and the securities comprising the units, including whether and under what circumstances those securities may be held or transferred separately;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provision for the issuance, payment, settlement, transfer or exchange of the units or of the securities comprising the units; and </w:t>
            </w:r>
          </w:p>
        </w:tc>
      </w:tr>
    </w:tbl>
    <w:tbl>
      <w:tblPr>
        <w:tblW w:w="5455" w:type="dxa"/>
        <w:jc w:val="left"/>
        <w:tblInd w:w="0" w:type="dxa"/>
        <w:tblLayout w:type="fixed"/>
        <w:tblCellMar>
          <w:top w:w="0" w:type="dxa"/>
          <w:left w:w="0" w:type="dxa"/>
          <w:bottom w:w="0" w:type="dxa"/>
          <w:right w:w="0" w:type="dxa"/>
        </w:tblCellMar>
      </w:tblPr>
      <w:tblGrid>
        <w:gridCol w:w="110"/>
        <w:gridCol w:w="5345"/>
      </w:tblGrid>
      <w:tr>
        <w:trPr/>
        <w:tc>
          <w:tcPr>
            <w:tcW w:w="110" w:type="dxa"/>
            <w:tcBorders/>
            <w:vAlign w:val="center"/>
          </w:tcPr>
          <w:p>
            <w:pPr>
              <w:pStyle w:val="TableContents"/>
              <w:bidi w:val="0"/>
              <w:spacing w:before="0" w:after="0"/>
              <w:jc w:val="left"/>
              <w:rPr>
                <w:color w:val="000000"/>
              </w:rPr>
            </w:pPr>
            <w:r>
              <w:rPr>
                <w:color w:val="000000"/>
              </w:rPr>
              <w:t>•</w:t>
            </w:r>
          </w:p>
        </w:tc>
        <w:tc>
          <w:tcPr>
            <w:tcW w:w="5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units will be issued in fully registered or global form.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82832x1_424b5_209-plan_pg1"/>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5" w:name="tPOD"/>
      <w:bookmarkEnd w:id="75"/>
      <w:r>
        <w:rPr>
          <w:rFonts w:ascii="Times New Roman;Times;serif" w:hAnsi="Times New Roman;Times;serif"/>
          <w:b/>
          <w:color w:val="000000"/>
          <w:sz w:val="20"/>
        </w:rPr>
        <w:t>PLAN OF DISTRIBUTION</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sell securities: </w:t>
      </w:r>
    </w:p>
    <w:tbl>
      <w:tblPr>
        <w:tblW w:w="1930" w:type="dxa"/>
        <w:jc w:val="left"/>
        <w:tblInd w:w="0" w:type="dxa"/>
        <w:tblLayout w:type="fixed"/>
        <w:tblCellMar>
          <w:top w:w="0" w:type="dxa"/>
          <w:left w:w="0" w:type="dxa"/>
          <w:bottom w:w="0" w:type="dxa"/>
          <w:right w:w="0" w:type="dxa"/>
        </w:tblCellMar>
      </w:tblPr>
      <w:tblGrid>
        <w:gridCol w:w="110"/>
        <w:gridCol w:w="1820"/>
      </w:tblGrid>
      <w:tr>
        <w:trPr/>
        <w:tc>
          <w:tcPr>
            <w:tcW w:w="110" w:type="dxa"/>
            <w:tcBorders/>
            <w:vAlign w:val="center"/>
          </w:tcPr>
          <w:p>
            <w:pPr>
              <w:pStyle w:val="TableContents"/>
              <w:bidi w:val="0"/>
              <w:spacing w:before="0" w:after="0"/>
              <w:jc w:val="left"/>
              <w:rPr>
                <w:color w:val="000000"/>
              </w:rPr>
            </w:pPr>
            <w:r>
              <w:rPr>
                <w:color w:val="000000"/>
              </w:rPr>
              <w:t>•</w:t>
            </w:r>
          </w:p>
        </w:tc>
        <w:tc>
          <w:tcPr>
            <w:tcW w:w="1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underwriters; </w:t>
            </w:r>
          </w:p>
        </w:tc>
      </w:tr>
    </w:tbl>
    <w:tbl>
      <w:tblPr>
        <w:tblW w:w="1495" w:type="dxa"/>
        <w:jc w:val="left"/>
        <w:tblInd w:w="0" w:type="dxa"/>
        <w:tblLayout w:type="fixed"/>
        <w:tblCellMar>
          <w:top w:w="0" w:type="dxa"/>
          <w:left w:w="0" w:type="dxa"/>
          <w:bottom w:w="0" w:type="dxa"/>
          <w:right w:w="0" w:type="dxa"/>
        </w:tblCellMar>
      </w:tblPr>
      <w:tblGrid>
        <w:gridCol w:w="110"/>
        <w:gridCol w:w="1385"/>
      </w:tblGrid>
      <w:tr>
        <w:trPr/>
        <w:tc>
          <w:tcPr>
            <w:tcW w:w="110" w:type="dxa"/>
            <w:tcBorders/>
            <w:vAlign w:val="center"/>
          </w:tcPr>
          <w:p>
            <w:pPr>
              <w:pStyle w:val="TableContents"/>
              <w:bidi w:val="0"/>
              <w:spacing w:before="0" w:after="0"/>
              <w:jc w:val="left"/>
              <w:rPr>
                <w:color w:val="000000"/>
              </w:rPr>
            </w:pPr>
            <w:r>
              <w:rPr>
                <w:color w:val="000000"/>
              </w:rPr>
              <w:t>•</w:t>
            </w:r>
          </w:p>
        </w:tc>
        <w:tc>
          <w:tcPr>
            <w:tcW w:w="1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dealers; </w:t>
            </w:r>
          </w:p>
        </w:tc>
      </w:tr>
    </w:tbl>
    <w:tbl>
      <w:tblPr>
        <w:tblW w:w="1450" w:type="dxa"/>
        <w:jc w:val="left"/>
        <w:tblInd w:w="0" w:type="dxa"/>
        <w:tblLayout w:type="fixed"/>
        <w:tblCellMar>
          <w:top w:w="0" w:type="dxa"/>
          <w:left w:w="0" w:type="dxa"/>
          <w:bottom w:w="0" w:type="dxa"/>
          <w:right w:w="0" w:type="dxa"/>
        </w:tblCellMar>
      </w:tblPr>
      <w:tblGrid>
        <w:gridCol w:w="110"/>
        <w:gridCol w:w="1340"/>
      </w:tblGrid>
      <w:tr>
        <w:trPr/>
        <w:tc>
          <w:tcPr>
            <w:tcW w:w="110" w:type="dxa"/>
            <w:tcBorders/>
            <w:vAlign w:val="center"/>
          </w:tcPr>
          <w:p>
            <w:pPr>
              <w:pStyle w:val="TableContents"/>
              <w:bidi w:val="0"/>
              <w:spacing w:before="0" w:after="0"/>
              <w:jc w:val="left"/>
              <w:rPr>
                <w:color w:val="000000"/>
              </w:rPr>
            </w:pPr>
            <w:r>
              <w:rPr>
                <w:color w:val="000000"/>
              </w:rPr>
              <w:t>•</w:t>
            </w:r>
          </w:p>
        </w:tc>
        <w:tc>
          <w:tcPr>
            <w:tcW w:w="1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agents; </w:t>
            </w:r>
          </w:p>
        </w:tc>
      </w:tr>
    </w:tbl>
    <w:tbl>
      <w:tblPr>
        <w:tblW w:w="2185" w:type="dxa"/>
        <w:jc w:val="left"/>
        <w:tblInd w:w="0" w:type="dxa"/>
        <w:tblLayout w:type="fixed"/>
        <w:tblCellMar>
          <w:top w:w="0" w:type="dxa"/>
          <w:left w:w="0" w:type="dxa"/>
          <w:bottom w:w="0" w:type="dxa"/>
          <w:right w:w="0" w:type="dxa"/>
        </w:tblCellMar>
      </w:tblPr>
      <w:tblGrid>
        <w:gridCol w:w="110"/>
        <w:gridCol w:w="2075"/>
      </w:tblGrid>
      <w:tr>
        <w:trPr/>
        <w:tc>
          <w:tcPr>
            <w:tcW w:w="110" w:type="dxa"/>
            <w:tcBorders/>
            <w:vAlign w:val="center"/>
          </w:tcPr>
          <w:p>
            <w:pPr>
              <w:pStyle w:val="TableContents"/>
              <w:bidi w:val="0"/>
              <w:spacing w:before="0" w:after="0"/>
              <w:jc w:val="left"/>
              <w:rPr>
                <w:color w:val="000000"/>
              </w:rPr>
            </w:pPr>
            <w:r>
              <w:rPr>
                <w:color w:val="000000"/>
              </w:rPr>
              <w:t>•</w:t>
            </w:r>
          </w:p>
        </w:tc>
        <w:tc>
          <w:tcPr>
            <w:tcW w:w="2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directly to purchasers; or </w:t>
            </w:r>
          </w:p>
        </w:tc>
      </w:tr>
    </w:tbl>
    <w:tbl>
      <w:tblPr>
        <w:tblW w:w="4615" w:type="dxa"/>
        <w:jc w:val="left"/>
        <w:tblInd w:w="0" w:type="dxa"/>
        <w:tblLayout w:type="fixed"/>
        <w:tblCellMar>
          <w:top w:w="0" w:type="dxa"/>
          <w:left w:w="0" w:type="dxa"/>
          <w:bottom w:w="0" w:type="dxa"/>
          <w:right w:w="0" w:type="dxa"/>
        </w:tblCellMar>
      </w:tblPr>
      <w:tblGrid>
        <w:gridCol w:w="110"/>
        <w:gridCol w:w="4505"/>
      </w:tblGrid>
      <w:tr>
        <w:trPr/>
        <w:tc>
          <w:tcPr>
            <w:tcW w:w="110" w:type="dxa"/>
            <w:tcBorders/>
            <w:vAlign w:val="center"/>
          </w:tcPr>
          <w:p>
            <w:pPr>
              <w:pStyle w:val="TableContents"/>
              <w:bidi w:val="0"/>
              <w:spacing w:before="0" w:after="0"/>
              <w:jc w:val="left"/>
              <w:rPr>
                <w:color w:val="000000"/>
              </w:rPr>
            </w:pPr>
            <w:r>
              <w:rPr>
                <w:color w:val="000000"/>
              </w:rPr>
              <w:t>•</w:t>
            </w:r>
          </w:p>
        </w:tc>
        <w:tc>
          <w:tcPr>
            <w:tcW w:w="4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 combination of any of these methods of sale.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we may issue the securities as a dividend or distribution or in a subscription rights offering to our existing securityholders.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distribution of the securities may be effected from time to time in one or more transactions: </w:t>
      </w:r>
    </w:p>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a fixed price or prices that may be changed from time to time; </w:t>
            </w:r>
          </w:p>
        </w:tc>
      </w:tr>
    </w:tbl>
    <w:tbl>
      <w:tblPr>
        <w:tblW w:w="3865" w:type="dxa"/>
        <w:jc w:val="left"/>
        <w:tblInd w:w="0" w:type="dxa"/>
        <w:tblLayout w:type="fixed"/>
        <w:tblCellMar>
          <w:top w:w="0" w:type="dxa"/>
          <w:left w:w="0" w:type="dxa"/>
          <w:bottom w:w="0" w:type="dxa"/>
          <w:right w:w="0" w:type="dxa"/>
        </w:tblCellMar>
      </w:tblPr>
      <w:tblGrid>
        <w:gridCol w:w="110"/>
        <w:gridCol w:w="3755"/>
      </w:tblGrid>
      <w:tr>
        <w:trPr/>
        <w:tc>
          <w:tcPr>
            <w:tcW w:w="110" w:type="dxa"/>
            <w:tcBorders/>
            <w:vAlign w:val="center"/>
          </w:tcPr>
          <w:p>
            <w:pPr>
              <w:pStyle w:val="TableContents"/>
              <w:bidi w:val="0"/>
              <w:spacing w:before="0" w:after="0"/>
              <w:jc w:val="left"/>
              <w:rPr>
                <w:color w:val="000000"/>
              </w:rPr>
            </w:pPr>
            <w:r>
              <w:rPr>
                <w:color w:val="000000"/>
              </w:rPr>
              <w:t>•</w:t>
            </w:r>
          </w:p>
        </w:tc>
        <w:tc>
          <w:tcPr>
            <w:tcW w:w="3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market prices prevailing at the time of sale; </w:t>
            </w:r>
          </w:p>
        </w:tc>
      </w:tr>
    </w:tbl>
    <w:tbl>
      <w:tblPr>
        <w:tblW w:w="4360" w:type="dxa"/>
        <w:jc w:val="left"/>
        <w:tblInd w:w="0" w:type="dxa"/>
        <w:tblLayout w:type="fixed"/>
        <w:tblCellMar>
          <w:top w:w="0" w:type="dxa"/>
          <w:left w:w="0" w:type="dxa"/>
          <w:bottom w:w="0" w:type="dxa"/>
          <w:right w:w="0" w:type="dxa"/>
        </w:tblCellMar>
      </w:tblPr>
      <w:tblGrid>
        <w:gridCol w:w="110"/>
        <w:gridCol w:w="4250"/>
      </w:tblGrid>
      <w:tr>
        <w:trPr/>
        <w:tc>
          <w:tcPr>
            <w:tcW w:w="110" w:type="dxa"/>
            <w:tcBorders/>
            <w:vAlign w:val="center"/>
          </w:tcPr>
          <w:p>
            <w:pPr>
              <w:pStyle w:val="TableContents"/>
              <w:bidi w:val="0"/>
              <w:spacing w:before="0" w:after="0"/>
              <w:jc w:val="left"/>
              <w:rPr>
                <w:color w:val="000000"/>
              </w:rPr>
            </w:pPr>
            <w:r>
              <w:rPr>
                <w:color w:val="000000"/>
              </w:rPr>
              <w:t>•</w:t>
            </w:r>
          </w:p>
        </w:tc>
        <w:tc>
          <w:tcPr>
            <w:tcW w:w="4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prices related to such prevailing market prices; or </w:t>
            </w:r>
          </w:p>
        </w:tc>
      </w:tr>
    </w:tbl>
    <w:tbl>
      <w:tblPr>
        <w:tblW w:w="1810" w:type="dxa"/>
        <w:jc w:val="left"/>
        <w:tblInd w:w="0" w:type="dxa"/>
        <w:tblLayout w:type="fixed"/>
        <w:tblCellMar>
          <w:top w:w="0" w:type="dxa"/>
          <w:left w:w="0" w:type="dxa"/>
          <w:bottom w:w="0" w:type="dxa"/>
          <w:right w:w="0" w:type="dxa"/>
        </w:tblCellMar>
      </w:tblPr>
      <w:tblGrid>
        <w:gridCol w:w="110"/>
        <w:gridCol w:w="1700"/>
      </w:tblGrid>
      <w:tr>
        <w:trPr/>
        <w:tc>
          <w:tcPr>
            <w:tcW w:w="110" w:type="dxa"/>
            <w:tcBorders/>
            <w:vAlign w:val="center"/>
          </w:tcPr>
          <w:p>
            <w:pPr>
              <w:pStyle w:val="TableContents"/>
              <w:bidi w:val="0"/>
              <w:spacing w:before="0" w:after="0"/>
              <w:jc w:val="left"/>
              <w:rPr>
                <w:color w:val="000000"/>
              </w:rPr>
            </w:pPr>
            <w:r>
              <w:rPr>
                <w:color w:val="000000"/>
              </w:rPr>
              <w:t>•</w:t>
            </w:r>
          </w:p>
        </w:tc>
        <w:tc>
          <w:tcPr>
            <w:tcW w:w="1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negotiated prices.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prospectus supplement will describe the method of distribution of the securities and any applicable restrictions.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prospectus supplement with respect to the securities of a particular series will describe the terms of the offering of the securities, including the following: </w:t>
      </w:r>
    </w:p>
    <w:tbl>
      <w:tblPr>
        <w:tblW w:w="3580" w:type="dxa"/>
        <w:jc w:val="left"/>
        <w:tblInd w:w="0" w:type="dxa"/>
        <w:tblLayout w:type="fixed"/>
        <w:tblCellMar>
          <w:top w:w="0" w:type="dxa"/>
          <w:left w:w="0" w:type="dxa"/>
          <w:bottom w:w="0" w:type="dxa"/>
          <w:right w:w="0" w:type="dxa"/>
        </w:tblCellMar>
      </w:tblPr>
      <w:tblGrid>
        <w:gridCol w:w="110"/>
        <w:gridCol w:w="3470"/>
      </w:tblGrid>
      <w:tr>
        <w:trPr/>
        <w:tc>
          <w:tcPr>
            <w:tcW w:w="110" w:type="dxa"/>
            <w:tcBorders/>
            <w:vAlign w:val="center"/>
          </w:tcPr>
          <w:p>
            <w:pPr>
              <w:pStyle w:val="TableContents"/>
              <w:bidi w:val="0"/>
              <w:spacing w:before="0" w:after="0"/>
              <w:jc w:val="left"/>
              <w:rPr>
                <w:color w:val="000000"/>
              </w:rPr>
            </w:pPr>
            <w:r>
              <w:rPr>
                <w:color w:val="000000"/>
              </w:rPr>
              <w:t>•</w:t>
            </w:r>
          </w:p>
        </w:tc>
        <w:tc>
          <w:tcPr>
            <w:tcW w:w="3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of the agent or any underwriters; </w:t>
            </w:r>
          </w:p>
        </w:tc>
      </w:tr>
    </w:tbl>
    <w:tbl>
      <w:tblPr>
        <w:tblW w:w="3175" w:type="dxa"/>
        <w:jc w:val="left"/>
        <w:tblInd w:w="0" w:type="dxa"/>
        <w:tblLayout w:type="fixed"/>
        <w:tblCellMar>
          <w:top w:w="0" w:type="dxa"/>
          <w:left w:w="0" w:type="dxa"/>
          <w:bottom w:w="0" w:type="dxa"/>
          <w:right w:w="0" w:type="dxa"/>
        </w:tblCellMar>
      </w:tblPr>
      <w:tblGrid>
        <w:gridCol w:w="110"/>
        <w:gridCol w:w="3065"/>
      </w:tblGrid>
      <w:tr>
        <w:trPr/>
        <w:tc>
          <w:tcPr>
            <w:tcW w:w="110" w:type="dxa"/>
            <w:tcBorders/>
            <w:vAlign w:val="center"/>
          </w:tcPr>
          <w:p>
            <w:pPr>
              <w:pStyle w:val="TableContents"/>
              <w:bidi w:val="0"/>
              <w:spacing w:before="0" w:after="0"/>
              <w:jc w:val="left"/>
              <w:rPr>
                <w:color w:val="000000"/>
              </w:rPr>
            </w:pPr>
            <w:r>
              <w:rPr>
                <w:color w:val="000000"/>
              </w:rPr>
              <w:t>•</w:t>
            </w:r>
          </w:p>
        </w:tc>
        <w:tc>
          <w:tcPr>
            <w:tcW w:w="3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public offering or purchase price; </w:t>
            </w:r>
          </w:p>
        </w:tc>
      </w:tr>
    </w:tbl>
    <w:tbl>
      <w:tblPr>
        <w:tblW w:w="6820" w:type="dxa"/>
        <w:jc w:val="left"/>
        <w:tblInd w:w="0" w:type="dxa"/>
        <w:tblLayout w:type="fixed"/>
        <w:tblCellMar>
          <w:top w:w="0" w:type="dxa"/>
          <w:left w:w="0" w:type="dxa"/>
          <w:bottom w:w="0" w:type="dxa"/>
          <w:right w:w="0" w:type="dxa"/>
        </w:tblCellMar>
      </w:tblPr>
      <w:tblGrid>
        <w:gridCol w:w="110"/>
        <w:gridCol w:w="6710"/>
      </w:tblGrid>
      <w:tr>
        <w:trPr/>
        <w:tc>
          <w:tcPr>
            <w:tcW w:w="110" w:type="dxa"/>
            <w:tcBorders/>
            <w:vAlign w:val="center"/>
          </w:tcPr>
          <w:p>
            <w:pPr>
              <w:pStyle w:val="TableContents"/>
              <w:bidi w:val="0"/>
              <w:spacing w:before="0" w:after="0"/>
              <w:jc w:val="left"/>
              <w:rPr>
                <w:color w:val="000000"/>
              </w:rPr>
            </w:pPr>
            <w:r>
              <w:rPr>
                <w:color w:val="000000"/>
              </w:rPr>
              <w:t>•</w:t>
            </w:r>
          </w:p>
        </w:tc>
        <w:tc>
          <w:tcPr>
            <w:tcW w:w="6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discounts and commissions to be allowed or paid to the agent or underwriters; </w:t>
            </w:r>
          </w:p>
        </w:tc>
      </w:tr>
    </w:tbl>
    <w:tbl>
      <w:tblPr>
        <w:tblW w:w="4705" w:type="dxa"/>
        <w:jc w:val="left"/>
        <w:tblInd w:w="0" w:type="dxa"/>
        <w:tblLayout w:type="fixed"/>
        <w:tblCellMar>
          <w:top w:w="0" w:type="dxa"/>
          <w:left w:w="0" w:type="dxa"/>
          <w:bottom w:w="0" w:type="dxa"/>
          <w:right w:w="0" w:type="dxa"/>
        </w:tblCellMar>
      </w:tblPr>
      <w:tblGrid>
        <w:gridCol w:w="110"/>
        <w:gridCol w:w="4595"/>
      </w:tblGrid>
      <w:tr>
        <w:trPr/>
        <w:tc>
          <w:tcPr>
            <w:tcW w:w="110" w:type="dxa"/>
            <w:tcBorders/>
            <w:vAlign w:val="center"/>
          </w:tcPr>
          <w:p>
            <w:pPr>
              <w:pStyle w:val="TableContents"/>
              <w:bidi w:val="0"/>
              <w:spacing w:before="0" w:after="0"/>
              <w:jc w:val="left"/>
              <w:rPr>
                <w:color w:val="000000"/>
              </w:rPr>
            </w:pPr>
            <w:r>
              <w:rPr>
                <w:color w:val="000000"/>
              </w:rPr>
              <w:t>•</w:t>
            </w:r>
          </w:p>
        </w:tc>
        <w:tc>
          <w:tcPr>
            <w:tcW w:w="4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other items constituting underwriting compensation; </w:t>
            </w:r>
          </w:p>
        </w:tc>
      </w:tr>
    </w:tbl>
    <w:tbl>
      <w:tblPr>
        <w:tblW w:w="5725" w:type="dxa"/>
        <w:jc w:val="left"/>
        <w:tblInd w:w="0" w:type="dxa"/>
        <w:tblLayout w:type="fixed"/>
        <w:tblCellMar>
          <w:top w:w="0" w:type="dxa"/>
          <w:left w:w="0" w:type="dxa"/>
          <w:bottom w:w="0" w:type="dxa"/>
          <w:right w:w="0" w:type="dxa"/>
        </w:tblCellMar>
      </w:tblPr>
      <w:tblGrid>
        <w:gridCol w:w="110"/>
        <w:gridCol w:w="5615"/>
      </w:tblGrid>
      <w:tr>
        <w:trPr/>
        <w:tc>
          <w:tcPr>
            <w:tcW w:w="11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discounts and commissions to be allowed or paid to dealers; and </w:t>
            </w:r>
          </w:p>
        </w:tc>
      </w:tr>
    </w:tbl>
    <w:tbl>
      <w:tblPr>
        <w:tblW w:w="4420" w:type="dxa"/>
        <w:jc w:val="left"/>
        <w:tblInd w:w="0" w:type="dxa"/>
        <w:tblLayout w:type="fixed"/>
        <w:tblCellMar>
          <w:top w:w="0" w:type="dxa"/>
          <w:left w:w="0" w:type="dxa"/>
          <w:bottom w:w="0" w:type="dxa"/>
          <w:right w:w="0" w:type="dxa"/>
        </w:tblCellMar>
      </w:tblPr>
      <w:tblGrid>
        <w:gridCol w:w="110"/>
        <w:gridCol w:w="4310"/>
      </w:tblGrid>
      <w:tr>
        <w:trPr/>
        <w:tc>
          <w:tcPr>
            <w:tcW w:w="110" w:type="dxa"/>
            <w:tcBorders/>
            <w:vAlign w:val="center"/>
          </w:tcPr>
          <w:p>
            <w:pPr>
              <w:pStyle w:val="TableContents"/>
              <w:bidi w:val="0"/>
              <w:spacing w:before="0" w:after="0"/>
              <w:jc w:val="left"/>
              <w:rPr>
                <w:color w:val="000000"/>
              </w:rPr>
            </w:pPr>
            <w:r>
              <w:rPr>
                <w:color w:val="000000"/>
              </w:rPr>
              <w:t>•</w:t>
            </w:r>
          </w:p>
        </w:tc>
        <w:tc>
          <w:tcPr>
            <w:tcW w:w="4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exchanges on which the securities will be listed.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engage in at-the-market offerings into an existing trading market in accordance with Rule 415(a)(4). Any at-the-market offering will be through an underwriter or underwriters acting as principal or agent for 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82832x1_424b5_209-plan_pg2"/>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Agents, underwriters, dealers and other persons may be entitled under agreements that they may enter into with us to indemnification by us against certain civil liabilities, including liabilities under the Securities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purchase by an institution of the securities covered under that contract shall not at the time of delivery be prohibited under the laws of the jurisdiction to which that institution is subject;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securities are also being sold to underwriters acting as principals for their own account, the underwriters shall have purchased such securities not sold for delayed delivery.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underwriters and other persons acting as agents will not have any responsibility in respect of the validity or performance of delayed delivery contracts.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days after the trade date for your securities, to make alternative settlement arrangements to prevent a failed settlement.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82832x1_424b5_210-legal_pg1"/>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8" w:name="tLM"/>
      <w:bookmarkEnd w:id="78"/>
      <w:r>
        <w:rPr>
          <w:rFonts w:ascii="Times New Roman;Times;serif" w:hAnsi="Times New Roman;Times;serif"/>
          <w:b/>
          <w:color w:val="000000"/>
          <w:sz w:val="20"/>
        </w:rPr>
        <w:t xml:space="preserve">LEGAL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validity of the securities offered hereby will be passed upon for us by Wilson Sonsini Goodrich &amp; Rosati, Professional Corporation, Palo Alto, California. Additional legal matters may be passed upon for us, or any underwriters, dealers or agents, by counsel that we will name in the applicable prospectus supplement. </w:t>
      </w:r>
    </w:p>
    <w:p>
      <w:pPr>
        <w:pStyle w:val="TextBody"/>
        <w:bidi w:val="0"/>
        <w:spacing w:before="410" w:after="283"/>
        <w:jc w:val="center"/>
        <w:rPr>
          <w:rFonts w:ascii="Times New Roman;Times;serif" w:hAnsi="Times New Roman;Times;serif"/>
          <w:b/>
          <w:color w:val="000000"/>
          <w:sz w:val="20"/>
        </w:rPr>
      </w:pPr>
      <w:bookmarkStart w:id="79" w:name="tEXP"/>
      <w:bookmarkEnd w:id="79"/>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consolidated financial statements appearing in our Annual Report on Form 10-K for the year ended December 31, 2025, have been audited by Farber Hass Hurley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410" w:after="283"/>
        <w:jc w:val="center"/>
        <w:rPr>
          <w:rFonts w:ascii="Times New Roman;Times;serif" w:hAnsi="Times New Roman;Times;serif"/>
          <w:b/>
          <w:color w:val="000000"/>
          <w:sz w:val="20"/>
        </w:rPr>
      </w:pPr>
      <w:bookmarkStart w:id="80" w:name="tWYC"/>
      <w:bookmarkEnd w:id="80"/>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proxy statements and other information with the SEC. Our SEC filings are available to the public over the Internet at the SEC’s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Copies of certain information filed by us with the SEC are also available on our website at </w:t>
      </w:r>
      <w:r>
        <w:rPr>
          <w:rFonts w:ascii="Times New Roman;Times;serif" w:hAnsi="Times New Roman;Times;serif"/>
          <w:i/>
          <w:color w:val="000000"/>
          <w:sz w:val="20"/>
        </w:rPr>
        <w:t>https://virnetx.com/</w:t>
      </w:r>
      <w:r>
        <w:rPr>
          <w:rFonts w:ascii="Times New Roman;Times;serif" w:hAnsi="Times New Roman;Times;serif"/>
          <w:color w:val="000000"/>
          <w:sz w:val="20"/>
        </w:rPr>
        <w:t xml:space="preserve">. Information accessible on or through our website is not a part of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82832x1_424b5_211-incorp_pg1"/>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2" w:name="tINC"/>
      <w:bookmarkEnd w:id="82"/>
      <w:r>
        <w:rPr>
          <w:rFonts w:ascii="Times New Roman;Times;serif" w:hAnsi="Times New Roman;Times;serif"/>
          <w:b/>
          <w:color w:val="000000"/>
          <w:sz w:val="20"/>
        </w:rPr>
        <w:t xml:space="preserve">INCORPORATION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after the date of the initial registration statement of which this prospectus forms a part and prior to the effectiveness of the registration statement, as well as subsequent to the effectiveness of the registration statement, until the offering of the securities under the registration statement of which this prospectus forms a part is terminated or completed: </w:t>
      </w:r>
    </w:p>
    <w:tbl>
      <w:tblPr>
        <w:tblW w:w="9205" w:type="dxa"/>
        <w:jc w:val="left"/>
        <w:tblInd w:w="0" w:type="dxa"/>
        <w:tblLayout w:type="fixed"/>
        <w:tblCellMar>
          <w:top w:w="0" w:type="dxa"/>
          <w:left w:w="0" w:type="dxa"/>
          <w:bottom w:w="0" w:type="dxa"/>
          <w:right w:w="0" w:type="dxa"/>
        </w:tblCellMar>
      </w:tblPr>
      <w:tblGrid>
        <w:gridCol w:w="110"/>
        <w:gridCol w:w="9095"/>
      </w:tblGrid>
      <w:tr>
        <w:trPr/>
        <w:tc>
          <w:tcPr>
            <w:tcW w:w="110" w:type="dxa"/>
            <w:tcBorders/>
            <w:vAlign w:val="center"/>
          </w:tcPr>
          <w:p>
            <w:pPr>
              <w:pStyle w:val="TableContents"/>
              <w:bidi w:val="0"/>
              <w:spacing w:before="0" w:after="0"/>
              <w:jc w:val="left"/>
              <w:rPr>
                <w:color w:val="000000"/>
              </w:rPr>
            </w:pPr>
            <w:r>
              <w:rPr>
                <w:color w:val="000000"/>
              </w:rPr>
              <w:t>•</w:t>
            </w:r>
          </w:p>
        </w:tc>
        <w:tc>
          <w:tcPr>
            <w:tcW w:w="9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Annual Report on </w:t>
            </w:r>
            <w:hyperlink r:id="rId12">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year ended December 31, 2025, filed with the SEC on March 24,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information incorporated by reference into our Annual Report on Form 10-K for the year ended December 31, 2025 from our Definitive Proxy Statement on </w:t>
            </w:r>
            <w:hyperlink r:id="rId13">
              <w:r>
                <w:rPr>
                  <w:rStyle w:val="InternetLink"/>
                  <w:rFonts w:ascii="Times New Roman;Times;serif" w:hAnsi="Times New Roman;Times;serif"/>
                  <w:color w:val="000080"/>
                  <w:sz w:val="20"/>
                </w:rPr>
                <w:t>Schedule 14A</w:t>
              </w:r>
            </w:hyperlink>
            <w:r>
              <w:rPr>
                <w:rFonts w:ascii="Times New Roman;Times;serif" w:hAnsi="Times New Roman;Times;serif"/>
                <w:color w:val="000000"/>
                <w:sz w:val="20"/>
              </w:rPr>
              <w:t xml:space="preserve">, filed with the SEC on April 24, 2026; </w:t>
            </w:r>
          </w:p>
        </w:tc>
      </w:tr>
    </w:tbl>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pPr>
            <w:r>
              <w:rPr>
                <w:rFonts w:ascii="Times New Roman;Times;serif" w:hAnsi="Times New Roman;Times;serif"/>
                <w:color w:val="000000"/>
                <w:sz w:val="20"/>
              </w:rPr>
              <w:t xml:space="preserve">our Quarterly Report on </w:t>
            </w:r>
            <w:hyperlink r:id="rId14">
              <w:r>
                <w:rPr>
                  <w:rStyle w:val="InternetLink"/>
                  <w:rFonts w:ascii="Times New Roman;Times;serif" w:hAnsi="Times New Roman;Times;serif"/>
                  <w:color w:val="000080"/>
                  <w:sz w:val="20"/>
                </w:rPr>
                <w:t>Form 10-Q</w:t>
              </w:r>
            </w:hyperlink>
            <w:r>
              <w:rPr>
                <w:rFonts w:ascii="Times New Roman;Times;serif" w:hAnsi="Times New Roman;Times;serif"/>
                <w:color w:val="000000"/>
                <w:sz w:val="20"/>
              </w:rPr>
              <w:t xml:space="preserve">, filed on May 15, 2026;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description of our common stock contained in the Registration Statement on </w:t>
            </w:r>
            <w:hyperlink r:id="rId15">
              <w:r>
                <w:rPr>
                  <w:rStyle w:val="InternetLink"/>
                  <w:rFonts w:ascii="Times New Roman;Times;serif" w:hAnsi="Times New Roman;Times;serif"/>
                  <w:color w:val="000080"/>
                  <w:sz w:val="20"/>
                </w:rPr>
                <w:t>Form 8-A</w:t>
              </w:r>
            </w:hyperlink>
            <w:r>
              <w:rPr>
                <w:rFonts w:ascii="Times New Roman;Times;serif" w:hAnsi="Times New Roman;Times;serif"/>
                <w:color w:val="000000"/>
                <w:sz w:val="20"/>
              </w:rPr>
              <w:t xml:space="preserve"> relating thereto, filed with the SEC on September 22, 2025, including any amendment or report filed for the purpose of updating such description.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request a copy of these filings, at no cost, by writing or telephoning us at the following address and telephone number: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VirnetX Holding Corporation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308 Dorla Court, Suite 206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Zephyr Cove, Nevada 89448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Attn: Investor Relations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(775) 548-1785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82832x1_424b5_300-bcv_pg1"/>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Up to $19,135,717 </w:t>
      </w:r>
    </w:p>
    <w:p>
      <w:pPr>
        <w:pStyle w:val="TextBody"/>
        <w:bidi w:val="0"/>
        <w:spacing w:before="37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Common Stock </w:t>
      </w:r>
    </w:p>
    <w:p>
      <w:pPr>
        <w:pStyle w:val="TextBody"/>
        <w:bidi w:val="0"/>
        <w:spacing w:before="325" w:after="283"/>
        <w:jc w:val="center"/>
        <w:rPr>
          <w:color w:val="000000"/>
        </w:rPr>
      </w:pPr>
      <w:r>
        <w:rPr>
          <w:color w:val="000000"/>
        </w:rPr>
        <w:drawing>
          <wp:inline distT="0" distB="0" distL="0" distR="0">
            <wp:extent cx="2085975" cy="295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2085975" cy="2952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49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41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PROSPECTUS SUPPLEMENT </w:t>
      </w:r>
    </w:p>
    <w:p>
      <w:pPr>
        <w:pStyle w:val="TextBody"/>
        <w:bidi w:val="0"/>
        <w:spacing w:before="25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1610" w:after="283"/>
        <w:jc w:val="center"/>
        <w:rPr>
          <w:rFonts w:ascii="Times New Roman;Times;serif" w:hAnsi="Times New Roman;Times;serif"/>
          <w:b/>
          <w:color w:val="000000"/>
          <w:sz w:val="26"/>
        </w:rPr>
      </w:pPr>
      <w:r>
        <w:rPr>
          <w:rFonts w:ascii="Times New Roman;Times;serif" w:hAnsi="Times New Roman;Times;serif"/>
          <w:b/>
          <w:color w:val="000000"/>
          <w:sz w:val="26"/>
        </w:rPr>
        <w:t xml:space="preserve">Titan Partners </w:t>
      </w:r>
    </w:p>
    <w:p>
      <w:pPr>
        <w:pStyle w:val="TextBody"/>
        <w:bidi w:val="0"/>
        <w:spacing w:before="457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October 1, 2026</w:t>
      </w:r>
    </w:p>
    <w:p>
      <w:pPr>
        <w:pStyle w:val="HorizontalLine"/>
        <w:bidi w:val="0"/>
        <w:jc w:val="left"/>
        <w:rPr/>
      </w:pPr>
      <w:r>
        <w:rPr/>
      </w:r>
      <w:bookmarkStart w:id="84" w:name="ny20082832x1_ex107.htm"/>
      <w:bookmarkStart w:id="85" w:name="ksny20082832x1_ex107"/>
      <w:bookmarkStart w:id="86" w:name="ny20082832x1_ex107.htm"/>
      <w:bookmarkStart w:id="87" w:name="ksny20082832x1_ex107"/>
      <w:bookmarkEnd w:id="86"/>
      <w:bookmarkEnd w:id="87"/>
      <w:r>
        <w:br w:type="page"/>
      </w:r>
    </w:p>
    <w:p>
      <w:pPr>
        <w:pStyle w:val="TextBody"/>
        <w:bidi w:val="0"/>
        <w:spacing w:before="0" w:after="0"/>
        <w:ind w:left="0" w:right="15" w:hanging="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00" w:after="200"/>
        <w:jc w:val="center"/>
        <w:rPr>
          <w:rFonts w:ascii="Times New Roman" w:hAnsi="Times New Roman"/>
          <w:b/>
          <w:sz w:val="20"/>
        </w:rPr>
      </w:pPr>
      <w:r>
        <w:rPr>
          <w:rFonts w:ascii="Times New Roman" w:hAnsi="Times New Roman"/>
          <w:b/>
          <w:sz w:val="20"/>
        </w:rPr>
        <w:t>Calculation of Filing Fee Tables</w:t>
      </w:r>
    </w:p>
    <w:p>
      <w:pPr>
        <w:pStyle w:val="TextBody"/>
        <w:bidi w:val="0"/>
        <w:spacing w:before="0" w:after="0"/>
        <w:jc w:val="center"/>
        <w:rPr>
          <w:rFonts w:ascii="Times New Roman" w:hAnsi="Times New Roman"/>
          <w:b/>
          <w:sz w:val="20"/>
        </w:rPr>
      </w:pPr>
      <w:r>
        <w:rPr>
          <w:rFonts w:ascii="Times New Roman" w:hAnsi="Times New Roman"/>
          <w:b/>
          <w:sz w:val="20"/>
        </w:rPr>
        <w:t>Form S-3</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VirnetX Holding Corporation</w:t>
      </w:r>
      <w:r>
        <w:rPr>
          <w:rFonts w:ascii="Times New Roman" w:hAnsi="Times New Roman"/>
          <w:sz w:val="24"/>
        </w:rPr>
        <w:t xml:space="preserve">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Narrative Disclosure</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The prospectus supplement to which this exhibit is attached is a final prospectus for the related offering and relates to the Registration Statement on Form S-3 (No. 333-295960) filed by VirnetX Holding Corporation on May 15, 2026 and declared effective on June 2, 2026. The maximum aggregate offering amount of the offering is $19,135,717.</w:t>
      </w:r>
    </w:p>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82324/000114036126010895/ef20060835_10k.htm" TargetMode="External"/><Relationship Id="rId4" Type="http://schemas.openxmlformats.org/officeDocument/2006/relationships/hyperlink" Target="https://www.sec.gov/ix?doc=/Archives/edgar/data/1082324/000114036126016717/ny20068164x1_def14a.htm" TargetMode="External"/><Relationship Id="rId5" Type="http://schemas.openxmlformats.org/officeDocument/2006/relationships/hyperlink" Target="https://www.sec.gov/ix?doc=/Archives/edgar/data/0001082324/000114036126021650/ef20070604_10q.htm" TargetMode="External"/><Relationship Id="rId6" Type="http://schemas.openxmlformats.org/officeDocument/2006/relationships/hyperlink" Target="https://www.sec.gov/ix?doc=/Archives/edgar/data/1082324/000114036126033140/ef20075471_10q.htm" TargetMode="External"/><Relationship Id="rId7" Type="http://schemas.openxmlformats.org/officeDocument/2006/relationships/hyperlink" Target="https://www.sec.gov/ix?doc=/Archives/edgar/data/1082324/000114036126025419/ef20076289_8k.htm" TargetMode="External"/><Relationship Id="rId8" Type="http://schemas.openxmlformats.org/officeDocument/2006/relationships/hyperlink" Target="https://www.sec.gov/Archives/edgar/data/1082324/000114036125035702/ef20055651_8a12b.htm" TargetMode="External"/><Relationship Id="rId9" Type="http://schemas.openxmlformats.org/officeDocument/2006/relationships/image" Target="media/image2.jpeg"/><Relationship Id="rId10" Type="http://schemas.openxmlformats.org/officeDocument/2006/relationships/hyperlink" Target="https://www.sec.gov/Archives/edgar/data/1082324/000114036126010895/ef20060835_ex4-4.htm" TargetMode="External"/><Relationship Id="rId11" Type="http://schemas.openxmlformats.org/officeDocument/2006/relationships/hyperlink" Target="https://www.sec.gov/Archives/edgar/data/1082324/000114036126010895/ef20060835_10k.htm" TargetMode="External"/><Relationship Id="rId12" Type="http://schemas.openxmlformats.org/officeDocument/2006/relationships/hyperlink" Target="https://www.sec.gov/ix?doc=/Archives/edgar/data/1082324/000114036126010895/ef20060835_10k.htm" TargetMode="External"/><Relationship Id="rId13" Type="http://schemas.openxmlformats.org/officeDocument/2006/relationships/hyperlink" Target="https://www.sec.gov/ix?doc=/Archives/edgar/data/1082324/000114036126016717/ny20068164x1_def14a.htm" TargetMode="External"/><Relationship Id="rId14" Type="http://schemas.openxmlformats.org/officeDocument/2006/relationships/hyperlink" Target="https://www.sec.gov/ix?doc=/Archives/edgar/data/0001082324/000114036126021650/ef20070604_10q.htm" TargetMode="External"/><Relationship Id="rId15" Type="http://schemas.openxmlformats.org/officeDocument/2006/relationships/hyperlink" Target="https://www.sec.gov/Archives/edgar/data/1082324/000114036125035702/ef20055651_8a12b.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26287</Words>
  <Characters>139357</Characters>
  <CharactersWithSpaces>165475</CharactersWithSpaces>
  <Paragraphs>1049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