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color w:val="000000"/>
          <w:sz w:val="20"/>
        </w:rPr>
      </w:pPr>
      <w:bookmarkStart w:id="0" w:name="filename1.htm"/>
      <w:bookmarkStart w:id="1" w:name="ksfilename1"/>
      <w:bookmarkEnd w:id="0"/>
      <w:bookmarkEnd w:id="1"/>
      <w:r>
        <w:rPr>
          <w:rFonts w:ascii="Times New Roman;Times;serif" w:hAnsi="Times New Roman;Times;serif"/>
          <w:b/>
          <w:color w:val="000000"/>
          <w:sz w:val="20"/>
        </w:rPr>
        <w:t>VirnetX Holding Corporation</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308 Dorla Court, Suite 206</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Zephyr Cove, Nevada 89448</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May 27, 2026</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VIA EDGAR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U.S. Securities and Exchange Commission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Division of Corporation Finance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100 F Street, N.E.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Washington, D.C. 20549</w:t>
      </w:r>
    </w:p>
    <w:p>
      <w:pPr>
        <w:pStyle w:val="TextBody"/>
        <w:bidi w:val="0"/>
        <w:spacing w:before="0" w:after="0"/>
        <w:ind w:left="5" w:right="0" w:hanging="0"/>
        <w:jc w:val="left"/>
        <w:rPr>
          <w:rFonts w:ascii="Times New Roman;Times;serif" w:hAnsi="Times New Roman;Times;serif"/>
          <w:color w:val="000000"/>
          <w:sz w:val="20"/>
        </w:rPr>
      </w:pPr>
      <w:r>
        <w:rPr>
          <w:rFonts w:ascii="Times New Roman;Times;serif" w:hAnsi="Times New Roman;Times;serif"/>
          <w:color w:val="000000"/>
          <w:sz w:val="20"/>
        </w:rPr>
        <w:t>Attention: Pearlyne Paulemon</w:t>
      </w:r>
    </w:p>
    <w:p>
      <w:pPr>
        <w:pStyle w:val="TextBody"/>
        <w:bidi w:val="0"/>
        <w:spacing w:before="0" w:after="0"/>
        <w:ind w:left="5" w:right="0" w:hanging="0"/>
        <w:jc w:val="left"/>
        <w:rPr/>
      </w:pPr>
      <w:r>
        <w:rPr/>
      </w:r>
    </w:p>
    <w:p>
      <w:pPr>
        <w:pStyle w:val="Normal"/>
        <w:bidi w:val="0"/>
        <w:spacing w:before="0" w:after="0"/>
        <w:jc w:val="left"/>
        <w:rPr>
          <w:sz w:val="4"/>
          <w:szCs w:val="4"/>
        </w:rPr>
      </w:pPr>
      <w:r>
        <w:rPr>
          <w:sz w:val="4"/>
          <w:szCs w:val="4"/>
        </w:rPr>
      </w:r>
      <w:bookmarkStart w:id="2" w:name="ze83ebfd0b49e45ebba53843c614cea55"/>
      <w:bookmarkStart w:id="3" w:name="ze83ebfd0b49e45ebba53843c614cea55"/>
      <w:bookmarkEnd w:id="3"/>
    </w:p>
    <w:tbl>
      <w:tblPr>
        <w:tblW w:w="4119" w:type="dxa"/>
        <w:jc w:val="left"/>
        <w:tblInd w:w="0" w:type="dxa"/>
        <w:tblLayout w:type="fixed"/>
        <w:tblCellMar>
          <w:top w:w="0" w:type="dxa"/>
          <w:left w:w="0" w:type="dxa"/>
          <w:bottom w:w="0" w:type="dxa"/>
          <w:right w:w="0" w:type="dxa"/>
        </w:tblCellMar>
      </w:tblPr>
      <w:tblGrid>
        <w:gridCol w:w="60"/>
        <w:gridCol w:w="380"/>
        <w:gridCol w:w="71"/>
        <w:gridCol w:w="2071"/>
        <w:gridCol w:w="1537"/>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b/>
              </w:rPr>
            </w:pPr>
            <w:r>
              <w:rPr>
                <w:b/>
              </w:rPr>
              <w:t>Re:</w:t>
            </w:r>
          </w:p>
        </w:tc>
        <w:tc>
          <w:tcPr>
            <w:tcW w:w="3679" w:type="dxa"/>
            <w:gridSpan w:val="3"/>
            <w:tcBorders/>
            <w:vAlign w:val="center"/>
          </w:tcPr>
          <w:p>
            <w:pPr>
              <w:pStyle w:val="TableContents"/>
              <w:bidi w:val="0"/>
              <w:spacing w:before="0" w:after="0"/>
              <w:jc w:val="left"/>
              <w:rPr>
                <w:b/>
              </w:rPr>
            </w:pPr>
            <w:r>
              <w:rPr>
                <w:b/>
              </w:rPr>
              <w:t>VirnetX Holding Corporation</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0"/>
              <w:jc w:val="left"/>
              <w:rPr>
                <w:b/>
              </w:rPr>
            </w:pPr>
            <w:r>
              <w:rPr>
                <w:b/>
              </w:rPr>
              <w:t>Registration Statement on Form S-3</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0"/>
              <w:jc w:val="left"/>
              <w:rPr>
                <w:b/>
              </w:rPr>
            </w:pPr>
            <w:r>
              <w:rPr>
                <w:b/>
              </w:rPr>
              <w:t>File No. 333-295960</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0"/>
              <w:jc w:val="left"/>
              <w:rPr>
                <w:b/>
              </w:rPr>
            </w:pPr>
            <w:r>
              <w:rPr>
                <w:b/>
              </w:rPr>
              <w:t>Acceleration Request</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0"/>
              <w:jc w:val="left"/>
              <w:rPr>
                <w:b/>
              </w:rPr>
            </w:pPr>
            <w:r>
              <w:rPr>
                <w:b/>
              </w:rPr>
              <w:t>Requested Date:</w:t>
            </w:r>
          </w:p>
        </w:tc>
        <w:tc>
          <w:tcPr>
            <w:tcW w:w="1537" w:type="dxa"/>
            <w:tcBorders/>
            <w:vAlign w:val="center"/>
          </w:tcPr>
          <w:p>
            <w:pPr>
              <w:pStyle w:val="TableContents"/>
              <w:bidi w:val="0"/>
              <w:spacing w:before="0" w:after="0"/>
              <w:jc w:val="left"/>
              <w:rPr>
                <w:b/>
              </w:rPr>
            </w:pPr>
            <w:r>
              <w:rPr>
                <w:b/>
              </w:rPr>
              <w:t>June 2, 2026</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0"/>
              <w:jc w:val="left"/>
              <w:rPr>
                <w:b/>
              </w:rPr>
            </w:pPr>
            <w:r>
              <w:rPr>
                <w:b/>
              </w:rPr>
              <w:t>Requested Time:</w:t>
            </w:r>
          </w:p>
        </w:tc>
        <w:tc>
          <w:tcPr>
            <w:tcW w:w="1537" w:type="dxa"/>
            <w:tcBorders/>
            <w:vAlign w:val="center"/>
          </w:tcPr>
          <w:p>
            <w:pPr>
              <w:pStyle w:val="TableContents"/>
              <w:bidi w:val="0"/>
              <w:spacing w:before="0" w:after="0"/>
              <w:jc w:val="left"/>
              <w:rPr>
                <w:b/>
              </w:rPr>
            </w:pPr>
            <w:r>
              <w:rPr>
                <w:b/>
              </w:rPr>
              <w:t>4:00 p.m.</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Rule 461 under the Securities Act of 1933, as amended, VirnetX Holding Corporation (the “</w:t>
      </w:r>
      <w:r>
        <w:rPr>
          <w:rFonts w:ascii="Times New Roman;Times;serif" w:hAnsi="Times New Roman;Times;serif"/>
          <w:b/>
          <w:color w:val="000000"/>
          <w:sz w:val="20"/>
        </w:rPr>
        <w:t>Company</w:t>
      </w:r>
      <w:r>
        <w:rPr>
          <w:rFonts w:ascii="Times New Roman;Times;serif" w:hAnsi="Times New Roman;Times;serif"/>
          <w:color w:val="000000"/>
          <w:sz w:val="20"/>
        </w:rPr>
        <w:t>”) hereby requests that the above-referenced Registration Statement on Form S-3 (File No. 333-295960) (the “</w:t>
      </w:r>
      <w:r>
        <w:rPr>
          <w:rFonts w:ascii="Times New Roman;Times;serif" w:hAnsi="Times New Roman;Times;serif"/>
          <w:b/>
          <w:color w:val="000000"/>
          <w:sz w:val="20"/>
        </w:rPr>
        <w:t>Registration Statement</w:t>
      </w:r>
      <w:r>
        <w:rPr>
          <w:rFonts w:ascii="Times New Roman;Times;serif" w:hAnsi="Times New Roman;Times;serif"/>
          <w:color w:val="000000"/>
          <w:sz w:val="20"/>
        </w:rPr>
        <w:t>”) be declared effective at the “Requested Date” and “Requested Time” set forth above, or as soon thereafter as practicable,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the Company’s counsel, Wilson Sonsini Goodrich &amp; Rosati, P.C., by calling Lauren Lichtblau at (650) 849-3069.</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8a6313644516412dabe30e2aa39fc03a"/>
      <w:bookmarkStart w:id="5" w:name="z8a6313644516412dabe30e2aa39fc03a"/>
      <w:bookmarkEnd w:id="5"/>
    </w:p>
    <w:tbl>
      <w:tblPr>
        <w:tblW w:w="4580" w:type="dxa"/>
        <w:jc w:val="left"/>
        <w:tblInd w:w="0" w:type="dxa"/>
        <w:tblLayout w:type="fixed"/>
        <w:tblCellMar>
          <w:top w:w="0" w:type="dxa"/>
          <w:left w:w="0" w:type="dxa"/>
          <w:bottom w:w="0" w:type="dxa"/>
          <w:right w:w="0" w:type="dxa"/>
        </w:tblCellMar>
      </w:tblPr>
      <w:tblGrid>
        <w:gridCol w:w="60"/>
        <w:gridCol w:w="4520"/>
      </w:tblGrid>
      <w:tr>
        <w:trPr/>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pPr>
            <w:r>
              <w:rPr/>
              <w:t>Sincerely,</w:t>
            </w:r>
          </w:p>
        </w:tc>
      </w:tr>
      <w:tr>
        <w:trPr/>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b/>
              </w:rPr>
            </w:pPr>
            <w:r>
              <w:rPr>
                <w:b/>
              </w:rPr>
              <w:t>VirnetX Holding Corporation</w:t>
            </w:r>
          </w:p>
        </w:tc>
      </w:tr>
      <w:tr>
        <w:trPr/>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0"/>
              <w:jc w:val="left"/>
              <w:rPr/>
            </w:pPr>
            <w:r>
              <w:rPr/>
              <w:t>/s/ Kendall Larsen</w:t>
            </w:r>
          </w:p>
        </w:tc>
      </w:tr>
      <w:tr>
        <w:trPr/>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pPr>
            <w:r>
              <w:rPr/>
              <w:t>Kendall Larsen</w:t>
            </w:r>
          </w:p>
        </w:tc>
      </w:tr>
      <w:tr>
        <w:trPr/>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pPr>
            <w:r>
              <w:rPr/>
              <w:t>Director, Chief Executive Officer and President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b268e38c2dcc43ac8e218feafae8e612"/>
      <w:bookmarkStart w:id="7" w:name="zb268e38c2dcc43ac8e218feafae8e612"/>
      <w:bookmarkEnd w:id="7"/>
    </w:p>
    <w:tbl>
      <w:tblPr>
        <w:tblW w:w="5905" w:type="dxa"/>
        <w:jc w:val="left"/>
        <w:tblInd w:w="0" w:type="dxa"/>
        <w:tblLayout w:type="fixed"/>
        <w:tblCellMar>
          <w:top w:w="0" w:type="dxa"/>
          <w:left w:w="0" w:type="dxa"/>
          <w:bottom w:w="0" w:type="dxa"/>
          <w:right w:w="0" w:type="dxa"/>
        </w:tblCellMar>
      </w:tblPr>
      <w:tblGrid>
        <w:gridCol w:w="290"/>
        <w:gridCol w:w="5615"/>
      </w:tblGrid>
      <w:tr>
        <w:trPr/>
        <w:tc>
          <w:tcPr>
            <w:tcW w:w="290" w:type="dxa"/>
            <w:tcBorders/>
            <w:vAlign w:val="center"/>
          </w:tcPr>
          <w:p>
            <w:pPr>
              <w:pStyle w:val="TableContents"/>
              <w:bidi w:val="0"/>
              <w:spacing w:before="0" w:after="0"/>
              <w:jc w:val="left"/>
              <w:rPr/>
            </w:pPr>
            <w:r>
              <w:rPr/>
              <w:t>cc:</w:t>
            </w:r>
          </w:p>
        </w:tc>
        <w:tc>
          <w:tcPr>
            <w:tcW w:w="5615" w:type="dxa"/>
            <w:tcBorders/>
            <w:vAlign w:val="center"/>
          </w:tcPr>
          <w:p>
            <w:pPr>
              <w:pStyle w:val="TableContents"/>
              <w:bidi w:val="0"/>
              <w:spacing w:before="0" w:after="0"/>
              <w:jc w:val="left"/>
              <w:rPr/>
            </w:pPr>
            <w:r>
              <w:rPr/>
              <w:t>Katherine Allanson, VirnetX Holding Corporation</w:t>
            </w:r>
          </w:p>
        </w:tc>
      </w:tr>
      <w:tr>
        <w:trPr/>
        <w:tc>
          <w:tcPr>
            <w:tcW w:w="29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pPr>
            <w:r>
              <w:rPr/>
              <w:t>Katharine Martin, Wilson Sonsini Goodrich &amp; Rosati, P.C.</w:t>
            </w:r>
          </w:p>
        </w:tc>
      </w:tr>
      <w:tr>
        <w:trPr/>
        <w:tc>
          <w:tcPr>
            <w:tcW w:w="29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pPr>
            <w:r>
              <w:rPr/>
              <w:t>Lauren Lichtblau, Wilson Sonsini Goodrich &amp; Rosati, P.C.</w:t>
            </w:r>
          </w:p>
        </w:tc>
      </w:tr>
    </w:tbl>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216</Words>
  <Characters>1285</Characters>
  <CharactersWithSpaces>1499</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