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3543x1_s3_100-regcov_pg1"/>
        <w:bookmarkStart w:id="1" w:name="ny20073543x1_s3.htm"/>
        <w:bookmarkStart w:id="2" w:name="ksny20073543x1_s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May 15,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Washington, D.C. 20549 </w:t>
      </w:r>
    </w:p>
    <w:p>
      <w:pPr>
        <w:pStyle w:val="TextBody"/>
        <w:bidi w:val="0"/>
        <w:spacing w:before="14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FORM S-3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REGISTRATION STATEMENT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UNDER</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THE SECURITIES ACT OF 1933 </w:t>
      </w:r>
    </w:p>
    <w:p>
      <w:pPr>
        <w:pStyle w:val="TextBody"/>
        <w:bidi w:val="0"/>
        <w:spacing w:before="14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VirnetX Holding Corporation </w:t>
      </w:r>
    </w:p>
    <w:p>
      <w:pPr>
        <w:pStyle w:val="TextBody"/>
        <w:bidi w:val="0"/>
        <w:spacing w:before="120" w:after="283"/>
        <w:jc w:val="center"/>
        <w:rPr>
          <w:rFonts w:ascii="Times New Roman;Times;serif" w:hAnsi="Times New Roman;Times;serif"/>
          <w:color w:val="000000"/>
          <w:sz w:val="19"/>
        </w:rPr>
      </w:pPr>
      <w:r>
        <w:rPr>
          <w:rFonts w:ascii="Times New Roman;Times;serif" w:hAnsi="Times New Roman;Times;serif"/>
          <w:color w:val="000000"/>
          <w:sz w:val="19"/>
        </w:rPr>
        <w:t xml:space="preserve">(Exact name of registrant as specified in its charter) </w:t>
      </w:r>
    </w:p>
    <w:tbl>
      <w:tblPr>
        <w:tblW w:w="4670" w:type="dxa"/>
        <w:jc w:val="left"/>
        <w:tblInd w:w="0" w:type="dxa"/>
        <w:tblLayout w:type="fixed"/>
        <w:tblCellMar>
          <w:top w:w="0" w:type="dxa"/>
          <w:left w:w="0" w:type="dxa"/>
          <w:bottom w:w="0" w:type="dxa"/>
          <w:right w:w="0" w:type="dxa"/>
        </w:tblCellMar>
      </w:tblPr>
      <w:tblGrid>
        <w:gridCol w:w="2495"/>
        <w:gridCol w:w="140"/>
        <w:gridCol w:w="140"/>
        <w:gridCol w:w="1895"/>
      </w:tblGrid>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Delaware </w:t>
            </w:r>
          </w:p>
          <w:p>
            <w:pPr>
              <w:pStyle w:val="TableContents"/>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(State or other jurisdiction of </w:t>
            </w:r>
          </w:p>
          <w:p>
            <w:pPr>
              <w:pStyle w:val="TableContents"/>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77-0390628 </w:t>
            </w:r>
          </w:p>
          <w:p>
            <w:pPr>
              <w:pStyle w:val="TableContents"/>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(I.R.S. Employer </w:t>
            </w:r>
          </w:p>
          <w:p>
            <w:pPr>
              <w:pStyle w:val="TableContents"/>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Identification Number)</w:t>
            </w:r>
          </w:p>
        </w:tc>
      </w:tr>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TextBody"/>
        <w:bidi w:val="0"/>
        <w:spacing w:before="8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308 Dorla Court, Suite 206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Zephyr Cove, Nevada 89448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(775) 548-1785 </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(Address, including zip code, and telephone number, including area code, of registrant’s principal executive offices) </w:t>
      </w:r>
    </w:p>
    <w:p>
      <w:pPr>
        <w:pStyle w:val="TextBody"/>
        <w:bidi w:val="0"/>
        <w:spacing w:before="8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Kendall Larsen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Chief Executive Officer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308 Dorla Court, Suite 206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Zephyr Cove, Nevada 89448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(775) 548-1785 </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(Name, address, including zip code, and telephone number, including area code, of agent for service) </w:t>
      </w:r>
    </w:p>
    <w:p>
      <w:pPr>
        <w:pStyle w:val="TextBody"/>
        <w:bidi w:val="0"/>
        <w:spacing w:before="80" w:after="283"/>
        <w:jc w:val="center"/>
        <w:rPr>
          <w:rFonts w:ascii="Times New Roman;Times;serif" w:hAnsi="Times New Roman;Times;serif"/>
          <w:b/>
          <w:i/>
          <w:color w:val="000000"/>
          <w:sz w:val="19"/>
        </w:rPr>
      </w:pPr>
      <w:r>
        <w:rPr>
          <w:rFonts w:ascii="Times New Roman;Times;serif" w:hAnsi="Times New Roman;Times;serif"/>
          <w:b/>
          <w:i/>
          <w:color w:val="000000"/>
          <w:sz w:val="19"/>
        </w:rPr>
        <w:t>Copies to:</w:t>
      </w:r>
      <w:r>
        <w:rPr>
          <w:rFonts w:ascii="Times New Roman;Times;serif" w:hAnsi="Times New Roman;Times;serif"/>
          <w:b/>
          <w:i/>
          <w:caps w:val="false"/>
          <w:smallCaps w:val="false"/>
          <w:color w:val="000000"/>
          <w:sz w:val="19"/>
        </w:rPr>
        <w:t xml:space="preserve"> </w:t>
      </w:r>
    </w:p>
    <w:p>
      <w:pPr>
        <w:pStyle w:val="TextBody"/>
        <w:bidi w:val="0"/>
        <w:spacing w:before="8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Katharine Martin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Lauren Lichtblau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Wilson Sonsini Goodrich &amp; Rosati,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Professional Corporation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650 Page Mill Road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Palo Alto, CA 94304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(650) 493-9300 </w:t>
      </w:r>
    </w:p>
    <w:p>
      <w:pPr>
        <w:pStyle w:val="TextBody"/>
        <w:bidi w:val="0"/>
        <w:spacing w:before="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Approximate date of commencement of proposed sale to the public</w:t>
      </w:r>
      <w:r>
        <w:rPr>
          <w:rFonts w:ascii="Times New Roman;Times;serif" w:hAnsi="Times New Roman;Times;serif"/>
          <w:b w:val="false"/>
          <w:color w:val="000000"/>
          <w:sz w:val="19"/>
        </w:rPr>
        <w:t xml:space="preserve">: From time to time after the effective date of the registration statement.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the only securities being registered on this Form are being offered pursuant to dividend or interest reinvestment plans, please check the following box: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5" w:type="dxa"/>
        <w:jc w:val="left"/>
        <w:tblInd w:w="0" w:type="dxa"/>
        <w:tblLayout w:type="fixed"/>
        <w:tblCellMar>
          <w:top w:w="0" w:type="dxa"/>
          <w:left w:w="0" w:type="dxa"/>
          <w:bottom w:w="0" w:type="dxa"/>
          <w:right w:w="0" w:type="dxa"/>
        </w:tblCellMar>
      </w:tblPr>
      <w:tblGrid>
        <w:gridCol w:w="1835"/>
        <w:gridCol w:w="140"/>
        <w:gridCol w:w="140"/>
        <w:gridCol w:w="275"/>
        <w:gridCol w:w="140"/>
        <w:gridCol w:w="140"/>
        <w:gridCol w:w="2225"/>
        <w:gridCol w:w="140"/>
        <w:gridCol w:w="140"/>
        <w:gridCol w:w="350"/>
      </w:tblGrid>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w:t>
            </w:r>
          </w:p>
        </w:tc>
      </w:tr>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3543x1_s3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 xml:space="preserve">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May 15, 2026</w:t>
      </w:r>
      <w:r>
        <w:rPr>
          <w:rFonts w:ascii="Times New Roman;Times;serif" w:hAnsi="Times New Roman;Times;serif"/>
          <w:b/>
          <w:color w:val="000000"/>
          <w:sz w:val="20"/>
        </w:rPr>
        <w:t xml:space="preserv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285" w:after="283"/>
        <w:jc w:val="center"/>
        <w:rPr>
          <w:color w:val="000000"/>
        </w:rPr>
      </w:pPr>
      <w:r>
        <w:rPr>
          <w:color w:val="000000"/>
        </w:rPr>
        <w:drawing>
          <wp:inline distT="0" distB="0" distL="0" distR="0">
            <wp:extent cx="207645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1085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VirnetX Holding Corporation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$20,000,000</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Debt Securities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Depositary Shares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Warrants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Subscription Rights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Purchase Contracts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We may offer and sell from time to time, in one or more series or issuances and on terms that we will determine at the time of the offering, any combination of the securities described in this prospectus, up to an aggregate amount of $20,000,000.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“VHC.” Each prospectus supplement will indicate whether the securities offered thereby will be listed on any securities exchange. As of May 7, 2026, the aggregate market value of our common stock held by our non-affiliates, as calculated pursuant to the rules of the Securities and Exchange Commission, was approximately $45.43 million, based upon 4,185,852 shares of our outstanding common stock held by non-affiliates at the per share price of $12.64, the closing sale price of our common stock on the Nasdaq Capital Market on May 7, 2026. Pursuant to General Instruction I.B.6 of Form S-3, in no event will we sell securities in a public offering with a value exceeding more than one-third of our “public float” (the market value of our common stock held by our non-affiliates) in any 12-month period so long as our public float remains below $75.0 million. We have not sold any securities in reliance on General Instruction I.B.6 of Form S-3 during the 12 calendar months prior to and including the date of this prospectus. </w:t>
      </w:r>
    </w:p>
    <w:p>
      <w:pPr>
        <w:pStyle w:val="TextBody"/>
        <w:bidi w:val="0"/>
        <w:spacing w:before="120" w:after="283"/>
        <w:ind w:left="0" w:right="0" w:firstLine="400"/>
        <w:jc w:val="left"/>
        <w:rPr/>
      </w:pPr>
      <w:r>
        <w:rPr>
          <w:rFonts w:ascii="Times New Roman;Times;serif" w:hAnsi="Times New Roman;Times;serif"/>
          <w:b/>
          <w:color w:val="000000"/>
          <w:sz w:val="20"/>
        </w:rPr>
        <w:t xml:space="preserve">Investing in our securities involves risks. Please carefully read the information under the headings “Risk Factors” beginning on page </w:t>
      </w:r>
      <w:hyperlink w:anchor="tRF">
        <w:r>
          <w:rPr>
            <w:rStyle w:val="InternetLink"/>
          </w:rPr>
          <w:t>5</w:t>
        </w:r>
      </w:hyperlink>
      <w:r>
        <w:rPr>
          <w:rFonts w:ascii="Times New Roman;Times;serif" w:hAnsi="Times New Roman;Times;serif"/>
          <w:b/>
          <w:color w:val="000000"/>
          <w:sz w:val="20"/>
        </w:rPr>
        <w:t xml:space="preserve"> of this prospectus and “Item 1A – Risk Factors” of our most recent report on Form 10-K or 10-Q that is incorporated by reference in this prospectus and in any applicable prospectus supplement before you invest in our securities.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9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date of this prospectus is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3543x1_s3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3950" w:type="dxa"/>
        <w:jc w:val="left"/>
        <w:tblInd w:w="0" w:type="dxa"/>
        <w:tblLayout w:type="fixed"/>
        <w:tblCellMar>
          <w:top w:w="0" w:type="dxa"/>
          <w:left w:w="0" w:type="dxa"/>
          <w:bottom w:w="0" w:type="dxa"/>
          <w:right w:w="0" w:type="dxa"/>
        </w:tblCellMar>
      </w:tblPr>
      <w:tblGrid>
        <w:gridCol w:w="3230"/>
        <w:gridCol w:w="140"/>
        <w:gridCol w:w="140"/>
        <w:gridCol w:w="440"/>
      </w:tblGrid>
      <w:tr>
        <w:trPr/>
        <w:tc>
          <w:tcPr>
            <w:tcW w:w="3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3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323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ii</w:t>
              </w:r>
            </w:hyperlink>
          </w:p>
        </w:tc>
      </w:tr>
      <w:tr>
        <w:trPr/>
        <w:tc>
          <w:tcPr>
            <w:tcW w:w="3230"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Prospectus 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S">
              <w:r>
                <w:rPr>
                  <w:rStyle w:val="InternetLink"/>
                  <w:rFonts w:ascii="Times New Roman;Times;serif" w:hAnsi="Times New Roman;Times;serif"/>
                  <w:color w:val="000000"/>
                  <w:sz w:val="20"/>
                </w:rPr>
                <w:t>1</w:t>
              </w:r>
            </w:hyperlink>
          </w:p>
        </w:tc>
      </w:tr>
      <w:tr>
        <w:trPr/>
        <w:tc>
          <w:tcPr>
            <w:tcW w:w="323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5</w:t>
              </w:r>
            </w:hyperlink>
          </w:p>
        </w:tc>
      </w:tr>
      <w:tr>
        <w:trPr/>
        <w:tc>
          <w:tcPr>
            <w:tcW w:w="323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olor w:val="000000"/>
                  <w:sz w:val="20"/>
                </w:rPr>
                <w:t>6</w:t>
              </w:r>
            </w:hyperlink>
          </w:p>
        </w:tc>
      </w:tr>
      <w:tr>
        <w:trPr/>
        <w:tc>
          <w:tcPr>
            <w:tcW w:w="323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UOP">
              <w:r>
                <w:rPr>
                  <w:rStyle w:val="InternetLink"/>
                  <w:rFonts w:ascii="Times New Roman;Times;serif" w:hAnsi="Times New Roman;Times;serif"/>
                  <w:color w:val="000000"/>
                  <w:sz w:val="20"/>
                </w:rPr>
                <w:t>7</w:t>
              </w:r>
            </w:hyperlink>
          </w:p>
        </w:tc>
      </w:tr>
      <w:tr>
        <w:trPr/>
        <w:tc>
          <w:tcPr>
            <w:tcW w:w="3230"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CS">
              <w:r>
                <w:rPr>
                  <w:rStyle w:val="InternetLink"/>
                  <w:rFonts w:ascii="Times New Roman;Times;serif" w:hAnsi="Times New Roman;Times;serif"/>
                  <w:color w:val="000000"/>
                  <w:sz w:val="20"/>
                </w:rPr>
                <w:t>8</w:t>
              </w:r>
            </w:hyperlink>
          </w:p>
        </w:tc>
      </w:tr>
      <w:tr>
        <w:trPr/>
        <w:tc>
          <w:tcPr>
            <w:tcW w:w="3230" w:type="dxa"/>
            <w:tcBorders/>
            <w:shd w:fill="CCEEFF" w:val="clear"/>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S">
              <w:r>
                <w:rPr>
                  <w:rStyle w:val="InternetLink"/>
                  <w:rFonts w:ascii="Times New Roman;Times;serif" w:hAnsi="Times New Roman;Times;serif"/>
                  <w:color w:val="000000"/>
                  <w:sz w:val="20"/>
                </w:rPr>
                <w:t>8</w:t>
              </w:r>
            </w:hyperlink>
          </w:p>
        </w:tc>
      </w:tr>
      <w:tr>
        <w:trPr/>
        <w:tc>
          <w:tcPr>
            <w:tcW w:w="3230" w:type="dxa"/>
            <w:tcBorders/>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Depositary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DS">
              <w:r>
                <w:rPr>
                  <w:rStyle w:val="InternetLink"/>
                  <w:rFonts w:ascii="Times New Roman;Times;serif" w:hAnsi="Times New Roman;Times;serif"/>
                  <w:color w:val="000000"/>
                  <w:sz w:val="20"/>
                </w:rPr>
                <w:t>15</w:t>
              </w:r>
            </w:hyperlink>
          </w:p>
        </w:tc>
      </w:tr>
      <w:tr>
        <w:trPr/>
        <w:tc>
          <w:tcPr>
            <w:tcW w:w="3230" w:type="dxa"/>
            <w:tcBorders/>
            <w:shd w:fill="CCEEFF" w:val="clear"/>
            <w:vAlign w:val="center"/>
          </w:tcPr>
          <w:p>
            <w:pPr>
              <w:pStyle w:val="TableContents"/>
              <w:bidi w:val="0"/>
              <w:spacing w:before="0" w:after="283"/>
              <w:ind w:left="0" w:right="0" w:hanging="0"/>
              <w:jc w:val="left"/>
              <w:rPr/>
            </w:pPr>
            <w:hyperlink w:anchor="tDW">
              <w:r>
                <w:rPr>
                  <w:rStyle w:val="InternetLink"/>
                  <w:rFonts w:ascii="Times New Roman;Times;serif" w:hAnsi="Times New Roman;Times;serif"/>
                  <w:color w:val="000000"/>
                  <w:sz w:val="20"/>
                </w:rPr>
                <w:t>Description of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W">
              <w:r>
                <w:rPr>
                  <w:rStyle w:val="InternetLink"/>
                  <w:rFonts w:ascii="Times New Roman;Times;serif" w:hAnsi="Times New Roman;Times;serif"/>
                  <w:color w:val="000000"/>
                  <w:sz w:val="20"/>
                </w:rPr>
                <w:t>17</w:t>
              </w:r>
            </w:hyperlink>
          </w:p>
        </w:tc>
      </w:tr>
      <w:tr>
        <w:trPr/>
        <w:tc>
          <w:tcPr>
            <w:tcW w:w="3230" w:type="dxa"/>
            <w:tcBorders/>
            <w:vAlign w:val="center"/>
          </w:tcPr>
          <w:p>
            <w:pPr>
              <w:pStyle w:val="TableContents"/>
              <w:bidi w:val="0"/>
              <w:spacing w:before="0" w:after="283"/>
              <w:ind w:left="0" w:right="0" w:hanging="0"/>
              <w:jc w:val="left"/>
              <w:rPr/>
            </w:pPr>
            <w:hyperlink w:anchor="tDSR">
              <w:r>
                <w:rPr>
                  <w:rStyle w:val="InternetLink"/>
                  <w:rFonts w:ascii="Times New Roman;Times;serif" w:hAnsi="Times New Roman;Times;serif"/>
                  <w:color w:val="000000"/>
                  <w:sz w:val="20"/>
                </w:rPr>
                <w:t>Description of Subscription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SR">
              <w:r>
                <w:rPr>
                  <w:rStyle w:val="InternetLink"/>
                  <w:rFonts w:ascii="Times New Roman;Times;serif" w:hAnsi="Times New Roman;Times;serif"/>
                  <w:color w:val="000000"/>
                  <w:sz w:val="20"/>
                </w:rPr>
                <w:t>18</w:t>
              </w:r>
            </w:hyperlink>
          </w:p>
        </w:tc>
      </w:tr>
      <w:tr>
        <w:trPr/>
        <w:tc>
          <w:tcPr>
            <w:tcW w:w="3230"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PC">
              <w:r>
                <w:rPr>
                  <w:rStyle w:val="InternetLink"/>
                  <w:rFonts w:ascii="Times New Roman;Times;serif" w:hAnsi="Times New Roman;Times;serif"/>
                  <w:color w:val="000000"/>
                  <w:sz w:val="20"/>
                </w:rPr>
                <w:t>18</w:t>
              </w:r>
            </w:hyperlink>
          </w:p>
        </w:tc>
      </w:tr>
      <w:tr>
        <w:trPr/>
        <w:tc>
          <w:tcPr>
            <w:tcW w:w="3230" w:type="dxa"/>
            <w:tcBorders/>
            <w:vAlign w:val="center"/>
          </w:tcPr>
          <w:p>
            <w:pPr>
              <w:pStyle w:val="TableContents"/>
              <w:bidi w:val="0"/>
              <w:spacing w:before="0" w:after="283"/>
              <w:ind w:left="0" w:right="0" w:hanging="0"/>
              <w:jc w:val="left"/>
              <w:rPr/>
            </w:pPr>
            <w:hyperlink w:anchor="tDU">
              <w:r>
                <w:rPr>
                  <w:rStyle w:val="InternetLink"/>
                  <w:rFonts w:ascii="Times New Roman;Times;serif" w:hAnsi="Times New Roman;Times;serif"/>
                  <w:color w:val="000000"/>
                  <w:sz w:val="20"/>
                </w:rPr>
                <w:t>Description of Units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U">
              <w:r>
                <w:rPr>
                  <w:rStyle w:val="InternetLink"/>
                  <w:rFonts w:ascii="Times New Roman;Times;serif" w:hAnsi="Times New Roman;Times;serif"/>
                  <w:color w:val="000000"/>
                  <w:sz w:val="20"/>
                </w:rPr>
                <w:t>19</w:t>
              </w:r>
            </w:hyperlink>
          </w:p>
        </w:tc>
      </w:tr>
      <w:tr>
        <w:trPr/>
        <w:tc>
          <w:tcPr>
            <w:tcW w:w="323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21</w:t>
              </w:r>
            </w:hyperlink>
          </w:p>
        </w:tc>
      </w:tr>
      <w:tr>
        <w:trPr/>
        <w:tc>
          <w:tcPr>
            <w:tcW w:w="323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23</w:t>
              </w:r>
            </w:hyperlink>
          </w:p>
        </w:tc>
      </w:tr>
      <w:tr>
        <w:trPr/>
        <w:tc>
          <w:tcPr>
            <w:tcW w:w="323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EXP">
              <w:r>
                <w:rPr>
                  <w:rStyle w:val="InternetLink"/>
                  <w:rFonts w:ascii="Times New Roman;Times;serif" w:hAnsi="Times New Roman;Times;serif"/>
                  <w:color w:val="000000"/>
                  <w:sz w:val="20"/>
                </w:rPr>
                <w:t>23</w:t>
              </w:r>
            </w:hyperlink>
          </w:p>
        </w:tc>
      </w:tr>
      <w:tr>
        <w:trPr/>
        <w:tc>
          <w:tcPr>
            <w:tcW w:w="323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23</w:t>
              </w:r>
            </w:hyperlink>
          </w:p>
        </w:tc>
      </w:tr>
      <w:tr>
        <w:trPr/>
        <w:tc>
          <w:tcPr>
            <w:tcW w:w="3230" w:type="dxa"/>
            <w:tcBorders/>
            <w:shd w:fill="CCEEFF" w:val="clear"/>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Incorporation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INC">
              <w:r>
                <w:rPr>
                  <w:rStyle w:val="InternetLink"/>
                  <w:rFonts w:ascii="Times New Roman;Times;serif" w:hAnsi="Times New Roman;Times;serif"/>
                  <w:color w:val="000000"/>
                  <w:sz w:val="20"/>
                </w:rPr>
                <w:t>24</w:t>
              </w:r>
            </w:hyperlink>
          </w:p>
        </w:tc>
      </w:tr>
      <w:tr>
        <w:trPr/>
        <w:tc>
          <w:tcPr>
            <w:tcW w:w="32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3543x1_s3_103-about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 w:name="tATP"/>
      <w:bookmarkEnd w:id="8"/>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up to $20,000,000.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3543x1_s3_104-summary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0" w:name="tPS"/>
      <w:bookmarkEnd w:id="10"/>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“VirnetX Holding Corporation,” “VirnetX,” “Company,” “registrant,” “we,” “our” and “us” refer, collectively, to VirnetX Holding Corporation, a Delaware corporation, and its subsidiaries taken as a whole.</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Company 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an Internet security software and technology company with patented cybersecurity solutions that are designed to ensure resilient, secure communications across any network or device.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flagship platform, VirnetX One™, is built on Zero Trust Network Access (ZTNA) principles and extends our patented Secure Domain Name System (SDNS) technology to establish end-to-end encrypted communications on demand, regardless of user location or endpoint. VirnetX One™ operates as a security-as-a-service platform and may be deployed in cloud, on-premise, or hybrid enterprise environments. The platform is designed to protect applications, services, and infrastructure by providing an additional security layer that integrates with existing systems to reduce exposure to evolving cyber threats affecting data, operating systems, infrastructure components, and gateway security controllers.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Matrix™ leverages the VirnetX One™ platform to secure communications using encrypted, identity-based access controls, including in contested or high-risk environments. It is designed to protect internet-enabled enterprise applications, connected devices, and control systems, such as file servers, data backup systems, and VPN or firewall environments. VirnetX Matrix™ is intended to be deployed without requiring material changes to an enterprise’s existing infrastructure and provides centralized visibility and policy enforcement to address unauthorized access and evolving attack techniques.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War Room™, also built on the VirnetX One™ platform, provides secure collaboration and visualization capabilities designed to support sensitive, unclassified but secure communications. The platform enables controlled access to virtual meeting environments by validating user and device permissions prior to granting access. VirnetX War Room™ is intended for use cases where confidentiality and access control are critical, including government, law enforcement, legal, financial, and healthcare environments.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products, including VirnetX One™, VirnetX Matrix™, and VirnetX War Room™, are designed to support U.S. Department of Defense (DoD), federal government, and commercial customers requiring real-time encrypted communications and network security. Our solutions are designed to be applicable across a range of public and private sector markets, including critical infrastructure, law enforcement, healthcare, financial services, legal services, energy, and related industries. We pursue sales opportunities nationwide and engage with universities and academic institutions to support research collaboration, workforce development, and technology transition initiatives.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also support international sales of our commercial products in compliance with applicable U.S. export control laws and regulations, including the International Traffic in Arms Regulations (ITAR) and the Export Administration Regulations (EAR). Our compliance processes are designed to ensure that international transactions adhere to export control requirements while supporting authorized global customers.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technology focuses on system design and evaluation to address the continued growth of Internet of Things (IoT) and edge computing environments. We are developing a federated, hybrid mesh network architecture designed with security as a foundational element, extending secure networking capabilities to resource-constrained devices through obfuscated and lightweight security mechanisms designed to protect communications without exposing underlying security processes. These efforts support secure identity, trust enforcement, and encrypted communications for distributed and edge-based systems, aligning our architecture with the industry’s shift toward decentralized and resilient network models. This approach incorporates dynamic trust evaluation, autonomous recovery, and distributed decision-making to enhance network resilience and adaptability.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3543x1_s3_104-summary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support system design and evaluation, we employ Model-Based Systems Engineering (MBSE) and agent-based modeling methodologies. These approaches enable simulation and analysis of complex systems, including cyber-physical environments and adaptive networks, and support assessment of system behavior under evolving threat conditions.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Certain of our services are designed to align with the Department of Defense’s Digital Engineering Strategy (DE) by supporting cybersecurity integration across system design, command and control, battle management, and sensor orchestration, and by enhancing our MBSE and cyber threat assessment capabilities. Our Dynamic Trust Evaluation (DTE) methods are designed to enforce trust policies throughout system lifecycles, and our cyber threat intelligence and assessment services provide structured analysis of cyber risks and vulnerabilities.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intend to make available our digital engineering, cyber MBSE, and cyber threat intelligence services to federal, state, and local government agencies, subject to applicable contracting requirements. We hold a Multiple Award Schedule (MAS) and obtained DoD Joint Certification Program (DD Form 2345) certifications for our facilities in Zephyr Cove, Nevada, and Farmington, Utah, which permit access to certain unclassified technical data subject to export controls. These certifications streamline procurement of our products and services by federal, state, and local government agencies and support our ability to engage with government and defense customers while maintaining compliance with applicable handling and security requirements.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Additionally, we are developing a Center for Advanced Software and Hardware Integration at our Farmington, Utah facility, that incorporates artificial intelligence (AI) and digital twin technologies alongside our Software-Defined Networks (SDN) capabilities. This facility is intended to support development and integration of secure, adaptive software solutions. We have entered into strategic relationships, including an investment in L2 Holdings, LLC (OmniTeq), an AI/Machine Learning (ML) solutions provider, and cooperative agreements, including a Cooperative Research and Development Agreement (CRADA) with the Air Force Research Laboratory, Intelligence Systems Directorate (AFRL/RI). The CRADA focuses on cybersecurity and Zero Trust Network Access (ZTNA)-related technologies, extends through 2030, and supports collaboration in areas relevant to defense and intelligence operations.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to federal, state, and local government agencies and defense customers, we pursue sales opportunities nationwide and engage with universities and academic institutions to support research collaboration, workforce development, and technology transition initiatives.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intellectual property portfolio is a core component of our business. We own U.S. and foreign patents, as well as pending patent applications, that are primarily directed to securing real-time communications over the Internet and related services. These patents underpin our technology and products. Certain portions of this portfolio were acquired by our principal operating subsidiary, VirnetX, Inc., from Leidos, Inc. in 2006.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employees include the core development team behind our inventions, technology, and software. Some members of this team have worked together for over twenty years and were on the same team that invented and developed this technology while working at Leidos, Inc. The team has continued its research and development work to refine our unique network security technology and make it more secure and easy to deploy.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executive offices are located at 308 Dorla Court, Suite 206, Zephyr Cove, Nevada 89448, and our telephone number at that address is (775) 548-1785. We maintain a website on the Internet at </w:t>
      </w:r>
      <w:r>
        <w:rPr>
          <w:rFonts w:ascii="Times New Roman;Times;serif" w:hAnsi="Times New Roman;Times;serif"/>
          <w:i/>
          <w:color w:val="000000"/>
          <w:sz w:val="20"/>
          <w:bdr w:val="single" w:sz="8" w:space="12" w:color="000000"/>
        </w:rPr>
        <w:t>https://virnetx.com/</w:t>
      </w:r>
      <w:r>
        <w:rPr>
          <w:rFonts w:ascii="Times New Roman;Times;serif" w:hAnsi="Times New Roman;Times;serif"/>
          <w:color w:val="000000"/>
          <w:sz w:val="20"/>
          <w:bdr w:val="single" w:sz="8" w:space="12" w:color="000000"/>
        </w:rPr>
        <w:t xml:space="preserve">. Our website, and the information contained therein, is not a part of this prospectus.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holding company and conduct our operations through our wholly-owned subsidiary, VirnetX, Inc. VirnetX, Inc. was incorporated in the State of Delaware in August 2005. In November 2006, VirnetX, Inc. acquired certain patents from SAIC, now Leidos, Inc. In July 2007, we effected a merger by and among VirnetX, Inc., VirnetX Holding Corporation and a wholly-owned subsidiary of VirnetX Holding Corporation, whereby VirnetX, Inc. merged with, and became, a wholly-owned subsidiary of VirnetX Holding Corporation, and VirnetX Holding Corporation issued shares of its common stock to the stockholders of VirnetX, Inc. as consideration for the merger. As a result of this merger, the former security holders of VirnetX, Inc. came to own a majority of our outstanding common stock. On October 29, 2007, we changed our name from PASW, Inc. to VirnetX Holding Corporation.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VirnetX™, VirnetX One™, VirnetX Matrix™, and VirnetX War Room™ are our trademarks in the United States. This prospectus includes product names, trade names and trademarks of other companies. All other product names, trade names and trademarks appearing in this prospectus are the property of their respective holders.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3543x1_s3_104-summary_pg3"/>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Securities That May Be Offered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$20,000,000. Each time securities are offered with this prospectus, we will provide a prospectus supplement that will describe the specific amounts, prices and terms of the securities being offered and the net proceeds we expect to receive from that sale.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securities may be sold to or through underwriters, dealers or agents or directly to purchasers or as otherwise set forth in the section titled “Plan of Distribution.” We, as well as any agents acting on our or their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Common Stock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shares of our common stock, par value $0.0001 per share, either alone or underlying other registered securities convertible into our common stock. All outstanding shares of our common stock are of the same class and have equal rights and attributes.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Voting. </w:t>
      </w:r>
      <w:r>
        <w:rPr>
          <w:rFonts w:ascii="Times New Roman;Times;serif" w:hAnsi="Times New Roman;Times;serif"/>
          <w:i w:val="false"/>
          <w:caps w:val="false"/>
          <w:smallCaps w:val="false"/>
          <w:color w:val="000000"/>
          <w:sz w:val="20"/>
          <w:bdr w:val="single" w:sz="8" w:space="12" w:color="000000"/>
        </w:rPr>
        <w:t xml:space="preserve">The holders of our common stock are entitled to one vote per share on all matters submitted to a vote of stockholders. Our common stock does not have cumulative voting rights. Persons who hold a majority of the outstanding shares of our common stock entitled to vote on the election of directors can elect all of the directors who are eligible for election.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Dividends. </w:t>
      </w:r>
      <w:r>
        <w:rPr>
          <w:rFonts w:ascii="Times New Roman;Times;serif" w:hAnsi="Times New Roman;Times;serif"/>
          <w:i w:val="false"/>
          <w:caps w:val="false"/>
          <w:smallCaps w:val="false"/>
          <w:color w:val="000000"/>
          <w:sz w:val="20"/>
          <w:bdr w:val="single" w:sz="8" w:space="12" w:color="000000"/>
        </w:rPr>
        <w:t xml:space="preserve">Subject to the preferential dividend rights and consent rights of any series of preferred stock that we may from time to time designate, holders of our common stock are entitled to share equally in dividends, if any, as may be declared from time to time by our Board of Directors out of funds legally available.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Liquidation and Dissolution. </w:t>
      </w:r>
      <w:r>
        <w:rPr>
          <w:rFonts w:ascii="Times New Roman;Times;serif" w:hAnsi="Times New Roman;Times;serif"/>
          <w:i w:val="false"/>
          <w:caps w:val="false"/>
          <w:smallCaps w:val="false"/>
          <w:color w:val="000000"/>
          <w:sz w:val="20"/>
          <w:bdr w:val="single" w:sz="8" w:space="12" w:color="000000"/>
        </w:rPr>
        <w:t xml:space="preserve">In the event of our liquidation, dissolution or winding up, subject to the preferential liquidation rights of any series of preferred stock that we may from time to time designate, the holders of our common stock are entitled to share ratably in all of our assets remaining after payment of all liabilities and preferential liquidation rights.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Preferred Stock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Depositary Shares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Debt Securities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3543x1_s3_104-summary_pg4"/>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Warrants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warrants for the purchase of common stock. We may offer warrants independently or together with other securities.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Subscription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subscription rights to purchase our common stock. These subscription rights may be offered independently or together with any other security offered hereby and may or may not be transferable by the stockholder receiving the subscription rights in such offering.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Purchase Contracts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purchase contracts, including contracts obligating holders or us to purchase from the other a specific or variable number of securities at a future date or dates.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Units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This prospectus may not be used to consummate a sale of any securities unless it is accompanied by a prospectus supplement.</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3543x1_s3_105-risk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RF"/>
      <w:bookmarkEnd w:id="15"/>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3543x1_s3_106-fls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FLS"/>
      <w:bookmarkEnd w:id="17"/>
      <w:r>
        <w:rPr>
          <w:rFonts w:ascii="Times New Roman;Times;serif" w:hAnsi="Times New Roman;Times;serif"/>
          <w:b/>
          <w:color w:val="000000"/>
          <w:sz w:val="20"/>
        </w:rPr>
        <w:t xml:space="preserve">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and Section 21E of the Securities Exchange Act of 1934, as amended (the Exchange Act). The words “believe,” “may,” “will,” “estimate,” “continue,” “anticipate,” “intend,” “expect,” “could,” “would,” “project,” “plan,” “goal,”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“Prospectus Summary,” “Risk Factors” and “Management’s Discussion and Analysis of Financial Condition and Results of Operations” and include statements regarding the intent, belief or current expectations of our Company and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 Factors that could cause or contribute to such differences include, but are not limited to those discussed in the documents incorporated by reference under the caption “Risk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the applicable prospectus supplement and any related issuer free writing prospectus, as well as the information and documents incorporated by reference into this prospectus, contain statements that are based on management’s current expectations and beliefs, including estimates and projections about of our Company, industry, financial condition, results of operations and other matters. These statements are not guarantees of future performance and are subject to numerous risks, uncertainties, and assumptions that are difficult to predict.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3543x1_s3_107-use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UOP"/>
      <w:bookmarkEnd w:id="19"/>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retain broad discretion over the use of the net proceeds to us from the sale of our securities under this prospectus. Unless otherwise provided in the applicable prospectus supplement, we currently expect to use the net proceeds that we receive from this offering for product development and marketing, and general corporate purposes, which may include working capital, capital expenditures, other corporate expenses and acquisitions of complementary products, technologies or businesses. We may also use a portion of the net proceeds to acquire, license or invest in complementary products, technologies or businesses; however, we currently have no agreements or commitments to complete any such transaction. The timing and amount of our actual expenditures will be based on many factors, including cash flows from operations and the anticipated growth of our business, but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may invest the net proceeds of this offering in short- and intermediate-term, interest-bearing obligations, investment-grade instruments, certificates of deposit or direct or guaranteed obligations of the U.S. government.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3543x1_s3_108-desc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DCS"/>
      <w:bookmarkEnd w:id="21"/>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pPr>
      <w:r>
        <w:rPr>
          <w:rFonts w:ascii="Times New Roman;Times;serif" w:hAnsi="Times New Roman;Times;serif"/>
          <w:color w:val="000000"/>
          <w:sz w:val="20"/>
        </w:rPr>
        <w:t xml:space="preserve">The description of our capital stock is incorporated by reference to Exhibit </w:t>
      </w:r>
      <w:hyperlink r:id="rId3">
        <w:r>
          <w:rPr>
            <w:rStyle w:val="InternetLink"/>
            <w:rFonts w:ascii="Times New Roman;Times;serif" w:hAnsi="Times New Roman;Times;serif"/>
            <w:color w:val="000080"/>
            <w:sz w:val="20"/>
          </w:rPr>
          <w:t>4.4</w:t>
        </w:r>
      </w:hyperlink>
      <w:r>
        <w:rPr>
          <w:rFonts w:ascii="Times New Roman;Times;serif" w:hAnsi="Times New Roman;Times;serif"/>
          <w:color w:val="000000"/>
          <w:sz w:val="20"/>
        </w:rPr>
        <w:t xml:space="preserve"> to our Annual Report on Form 10-K for the fiscal year ended December 31, 2025, filed with the SEC on </w:t>
      </w:r>
      <w:hyperlink r:id="rId4">
        <w:r>
          <w:rPr>
            <w:rStyle w:val="InternetLink"/>
            <w:rFonts w:ascii="Times New Roman;Times;serif" w:hAnsi="Times New Roman;Times;serif"/>
            <w:color w:val="000080"/>
            <w:sz w:val="20"/>
          </w:rPr>
          <w:t>March 24, 2026</w:t>
        </w:r>
      </w:hyperlink>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bookmarkStart w:id="22" w:name="tDS"/>
      <w:bookmarkEnd w:id="22"/>
      <w:r>
        <w:rPr>
          <w:rFonts w:ascii="Times New Roman;Times;serif" w:hAnsi="Times New Roman;Times;serif"/>
          <w:b/>
          <w:color w:val="000000"/>
          <w:sz w:val="20"/>
        </w:rPr>
        <w:t xml:space="preserve">DESCRIPTION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 </w:t>
      </w:r>
    </w:p>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and ranking of the debt securities (including the terms of any subordination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(expressed as a percentage of the principal amount) at which we will sell the debt securities, which may be sold at a discount below their stated principal amount; </w:t>
            </w:r>
          </w:p>
        </w:tc>
      </w:tr>
    </w:tbl>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 upon the aggregate principal amount of the debt securities;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the principal of the securities of the series is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if any, to defer payment of interest and the maximum length of any such deferral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3543x1_s3_108-desc_pg2"/>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period or periods within which, the price or prices at which, and the terms and conditions upon which, we may redeem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denominations in which the debt securities will be issued, if other than denominations of $1,000, and any integral multiple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form of the debt securities and whether the debt securities will be issued in the form of certificated debt securities or global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principal amount of the debt securities payable upon declaration of acceleration of the maturity date, if other than the principal amount;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any security provided for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depositaries, interest rate calculation agents, exchange rate calculation agents or other agents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there is more than one trustee or a different trustee, the identity of the trustee and, if not the trustee, the identity of each security registrar, paying agent or authenticating agent with respect to such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any of our direct or indirect subsidiaries will guarantee the debt securities of that series, including the terms of subordination, if any, of such guarantees.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3543x1_s3_108-desc_pg3"/>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and Exchange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Certificated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Global Debt Securities and Book-Entry System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set forth in the applicable prospectus supplement any restrictive covenants applicable to any issue or series of debt securities.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Protection in the Event of a Change of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Consolidation, Merger and Sale of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not consolidate with or merge with or into, or convey, transfer or lease all or substantially all of our properties and assets to any person, which we refer to as a successor person,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immediately after giving effect to the transaction, no Default or Event of Default (as defined below), shall have occurred and be continuing.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above, any of our subsidiaries may consolidate with, merge into or transfer all or part of its properties to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3543x1_s3_108-desc_pg4"/>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Events of Default </w:t>
      </w:r>
    </w:p>
    <w:p>
      <w:pPr>
        <w:pStyle w:val="TextBody"/>
        <w:bidi w:val="0"/>
        <w:spacing w:before="150" w:after="283"/>
        <w:ind w:left="0" w:right="0" w:firstLine="400"/>
        <w:jc w:val="left"/>
        <w:rPr>
          <w:color w:val="000000"/>
        </w:rPr>
      </w:pPr>
      <w:r>
        <w:rPr>
          <w:color w:val="000000"/>
        </w:rPr>
        <w:t>“</w:t>
      </w:r>
      <w:r>
        <w:rPr>
          <w:rFonts w:ascii="Times New Roman;Times;serif" w:hAnsi="Times New Roman;Times;serif"/>
          <w:color w:val="000000"/>
          <w:sz w:val="20"/>
        </w:rPr>
        <w:t xml:space="preserve">Event of Default” means with respect to any series of debt securities,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principal of any security of that series at its maturity;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voluntary or involuntary events of bankruptcy, insolvency or reorganization of 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Event of Default provided with respect to debt securities of that series that is described in the applicable prospectus supplement.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3543x1_s3_108-desc_pg5"/>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holder has previously given to the trustee written notice of a continuing Event of Default with respect to debt securities of that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Modification and Waiver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 the trustee may modify, amend or supplement the indenture or the debt securities of any series without the consent of any holder of any debt security: </w:t>
      </w:r>
    </w:p>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cure any ambiguity, defect or inconsistency;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comply with covenants in the indenture described above under the heading“—Consolidation, Merger and Sale of Assets”; </w:t>
            </w:r>
          </w:p>
        </w:tc>
      </w:tr>
    </w:tbl>
    <w:tbl>
      <w:tblPr>
        <w:tblW w:w="7360" w:type="dxa"/>
        <w:jc w:val="left"/>
        <w:tblInd w:w="0" w:type="dxa"/>
        <w:tblLayout w:type="fixed"/>
        <w:tblCellMar>
          <w:top w:w="0" w:type="dxa"/>
          <w:left w:w="0" w:type="dxa"/>
          <w:bottom w:w="0" w:type="dxa"/>
          <w:right w:w="0" w:type="dxa"/>
        </w:tblCellMar>
      </w:tblPr>
      <w:tblGrid>
        <w:gridCol w:w="110"/>
        <w:gridCol w:w="7250"/>
      </w:tblGrid>
      <w:tr>
        <w:trPr/>
        <w:tc>
          <w:tcPr>
            <w:tcW w:w="11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uncertificated securities in addition to or in place of certificated securities;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guarantees with respect to debt securities of any series or secure debt securities of any series;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surrender any of our rights or powers under the indenture;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add covenants or events of default for the benefit of the holders of debt securities of any series;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comply with the applicable procedures of the applicable depositary;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make any change that does not adversely affect the rights of any holder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the issuance of, and establish the form and terms and conditions of debt securities of, any series as permitted by the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comply with requirements of the SEC in order to effect or maintain the qualification of the indenture under the Trust Indenture Act.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amount of debt securities whose holders must consent to an amendment, supplement or waiver;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rate of or extend the time for payment of interest (including default interest) on any debt security;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3543x1_s3_108-desc_pg6"/>
        <w:bookmarkEnd w:id="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amount of discount securities payable upon acceleration of maturity;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the principal of or premium or interest on any debt security payable in currency other than that stated in the debt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redemption payment with respect to any debt security.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Defeasance of Debt Securities and Certain Covenants in Certain Circumstances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Defeasance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Defeasance of Certain 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unless otherwise provided by the terms of the applicable series of debt securities, upon compliance with certain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omit to comply with the covenant described under the heading“—Consolidation, Merger and Sale of Assets” and certain other covenants set forth in the indenture, as well as any additional covenants which may be set forth in the applicable prospectus supplement;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omission to comply with those covenants will not constitute a Default or an Event of Default with respect to the debt securities of that series.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3543x1_s3_108-desc_pg7"/>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refer to this as covenant defeasance. The conditions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such deposit will not result in a breach or violation of, or constitute a default under the indenture or any other agreement to which we are a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Default or Event of Default with respect to the applicable series of debt securities shall have occurred or is continuing on the date of such deposit;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Personal Liability of Directors, Officers, Employees or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3543x1_s3_108-desc_pg8"/>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DDS"/>
      <w:bookmarkEnd w:id="30"/>
      <w:r>
        <w:rPr>
          <w:rFonts w:ascii="Times New Roman;Times;serif" w:hAnsi="Times New Roman;Times;serif"/>
          <w:b/>
          <w:color w:val="000000"/>
          <w:sz w:val="20"/>
        </w:rPr>
        <w:t xml:space="preserve">DESCRIPTION OF DEPOSITARY SHARES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Other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Liquidation Preference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Withdrawal of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Redemption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3543x1_s3_108-desc_pg9"/>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the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Charges of the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Termination of the Deposit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 </w:t>
      </w:r>
    </w:p>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depositary shares have been redeemed;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has been a final distribution of the preferred stock in connection with our dissolution and such distribution has been made to all the holders of depositary shares.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Resignation and Removal of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3543x1_s3_108-desc_pg10"/>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of Liability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before="400" w:after="283"/>
        <w:jc w:val="center"/>
        <w:rPr>
          <w:rFonts w:ascii="Times New Roman;Times;serif" w:hAnsi="Times New Roman;Times;serif"/>
          <w:b/>
          <w:color w:val="000000"/>
          <w:sz w:val="20"/>
        </w:rPr>
      </w:pPr>
      <w:bookmarkStart w:id="33" w:name="tDW"/>
      <w:bookmarkEnd w:id="33"/>
      <w:r>
        <w:rPr>
          <w:rFonts w:ascii="Times New Roman;Times;serif" w:hAnsi="Times New Roman;Times;serif"/>
          <w:b/>
          <w:color w:val="000000"/>
          <w:sz w:val="20"/>
        </w:rPr>
        <w:t xml:space="preserve">DESCRIPTION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warrants to purchase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w:t>
      </w:r>
    </w:p>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specific designation and aggregate number of, and the offering price at which we will issue, the warrants;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currency units in which the offering price, if any, and the exercise price are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warrants are to be sold separately or with other securities as parts of units;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applicable material U.S. federal income tax consequences;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identity of the warrant agent for the warrants and of any other depositaries, execution or paying agents, transfer agents, registrars or other agents;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proposed listing, if any, of the warrants or any securities purchasable upon exercise of the warrants on any securities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designation and terms of the debt securities, preferred stock, depositary shares or common stock with which the warrants are issued and the number of warrants issued with each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date from and after which any warrants issued as part of a unit and the related debt securities, preferred stock, depositary shares or common stock will be separately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purchasable upon exercise of a warrant and the price at which those shares may be purchased;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minimum or maximum amount of the warrants that may be exercised at any one time;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with respect to book-entry procedures, if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3543x1_s3_108-desc_pg11"/>
        <w:bookmarkEnd w:id="34"/>
        <w:r>
          <w:rPr>
            <w:rStyle w:val="InternetLink"/>
            <w:rFonts w:ascii="Times New Roman;Times;Serif" w:hAnsi="Times New Roman;Times;Serif"/>
            <w:b/>
            <w:caps w:val="false"/>
            <w:smallCaps w:val="false"/>
            <w:color w:val="000000"/>
            <w:sz w:val="16"/>
          </w:rPr>
          <w:t>TABLE OF CONTENTS</w:t>
        </w:r>
      </w:hyperlink>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antidilution provisions, and other provisions for changes to or adjustment in the exercise price, of the warrants, if any;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redemption or call provisions;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additional terms of the warrants, including terms, procedures and limitations relating to the exchange or exercise of the warrants. </w:t>
            </w:r>
          </w:p>
        </w:tc>
      </w:tr>
    </w:tbl>
    <w:p>
      <w:pPr>
        <w:pStyle w:val="TextBody"/>
        <w:bidi w:val="0"/>
        <w:spacing w:before="290" w:after="283"/>
        <w:jc w:val="center"/>
        <w:rPr>
          <w:rFonts w:ascii="Times New Roman;Times;serif" w:hAnsi="Times New Roman;Times;serif"/>
          <w:b/>
          <w:color w:val="000000"/>
          <w:sz w:val="20"/>
        </w:rPr>
      </w:pPr>
      <w:bookmarkStart w:id="35" w:name="tDSR"/>
      <w:bookmarkEnd w:id="35"/>
      <w:r>
        <w:rPr>
          <w:rFonts w:ascii="Times New Roman;Times;serif" w:hAnsi="Times New Roman;Times;serif"/>
          <w:b/>
          <w:color w:val="000000"/>
          <w:sz w:val="20"/>
        </w:rPr>
        <w:t xml:space="preserve">DESCRIPTION OF SUBSCRIPTION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subscription rights to purchase our common stock.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any subscription rights we offer, if any, will, to the extent applicable, include specific terms relating to the offering, including some or all of the following: </w:t>
      </w:r>
    </w:p>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if any, for the subscription rights; </w:t>
            </w:r>
          </w:p>
        </w:tc>
      </w:tr>
    </w:tbl>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0"/>
              <w:jc w:val="left"/>
              <w:rPr>
                <w:color w:val="000000"/>
              </w:rPr>
            </w:pPr>
            <w:r>
              <w:rPr>
                <w:color w:val="000000"/>
              </w:rPr>
              <w:t>•</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exercise price payable for our common stock upon the exercise of the subscription rights;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subscription rights to be issued to each stockholder;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and terms of our common stock which may be purchased per each subscription right;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are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subscription rights, including the terms, procedures and limitations relating to the exchange and exercise of the subscription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subscription rights shall commence, and the date on which the subscription rights shall expire;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may include an over-subscription privilege with respect to unsubscribed securities or an over-allotment privilege to the extent the securities are fully subscribed;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 </w:t>
      </w:r>
    </w:p>
    <w:p>
      <w:pPr>
        <w:pStyle w:val="TextBody"/>
        <w:bidi w:val="0"/>
        <w:spacing w:before="290" w:after="283"/>
        <w:jc w:val="center"/>
        <w:rPr>
          <w:rFonts w:ascii="Times New Roman;Times;serif" w:hAnsi="Times New Roman;Times;serif"/>
          <w:b/>
          <w:color w:val="000000"/>
          <w:sz w:val="20"/>
        </w:rPr>
      </w:pPr>
      <w:bookmarkStart w:id="36" w:name="tDPC"/>
      <w:bookmarkEnd w:id="36"/>
      <w:r>
        <w:rPr>
          <w:rFonts w:ascii="Times New Roman;Times;serif" w:hAnsi="Times New Roman;Times;serif"/>
          <w:b/>
          <w:color w:val="000000"/>
          <w:sz w:val="20"/>
        </w:rPr>
        <w:t xml:space="preserve">DESCRIPTION OF PURCHASE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incorporate by reference into the registration statement of which this prospectus is a part the form of any purchase contract that we may offer under this prospectus before the sale of the related purchase contract. We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3543x1_s3_108-desc_pg1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offer any purchase contracts, certain terms of that series of purchase contracts will be described in the applicable prospectus supplement, including, without limitation,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of the securities or other property subject to the purchase contracts (which may be determined by reference to a specific formula described in the purchase contracts);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requirement for us to make periodic payments to holders or vice versa, and whether the payments are unsecured or pre-funded; </w:t>
            </w:r>
          </w:p>
        </w:tc>
      </w:tr>
    </w:tbl>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any security provided for the purchase contracts;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are to be prepaid or not;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are to be settled by delivery, or by reference or linkage to the value, performance or level of the securities subject to purchase under the purchase contract;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acceleration, cancellation, termination or other provisions relating to the settlement of the purchase contracts; </w:t>
            </w:r>
          </w:p>
        </w:tc>
      </w:tr>
    </w:tbl>
    <w:tbl>
      <w:tblPr>
        <w:tblW w:w="8140" w:type="dxa"/>
        <w:jc w:val="left"/>
        <w:tblInd w:w="0" w:type="dxa"/>
        <w:tblLayout w:type="fixed"/>
        <w:tblCellMar>
          <w:top w:w="0" w:type="dxa"/>
          <w:left w:w="0" w:type="dxa"/>
          <w:bottom w:w="0" w:type="dxa"/>
          <w:right w:w="0" w:type="dxa"/>
        </w:tblCellMar>
      </w:tblPr>
      <w:tblGrid>
        <w:gridCol w:w="110"/>
        <w:gridCol w:w="8030"/>
      </w:tblGrid>
      <w:tr>
        <w:trPr/>
        <w:tc>
          <w:tcPr>
            <w:tcW w:w="11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discussion of certain U.S. federal income tax considerations applicable to the purchase contracts;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purchase contracts will be issued in fully registered or global form; and </w:t>
            </w:r>
          </w:p>
        </w:tc>
      </w:tr>
    </w:tbl>
    <w:tbl>
      <w:tblPr>
        <w:tblW w:w="7825" w:type="dxa"/>
        <w:jc w:val="left"/>
        <w:tblInd w:w="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purchase contracts and any securities subject to such purchase contracts. </w:t>
            </w:r>
          </w:p>
        </w:tc>
      </w:tr>
    </w:tbl>
    <w:p>
      <w:pPr>
        <w:pStyle w:val="TextBody"/>
        <w:bidi w:val="0"/>
        <w:spacing w:before="410" w:after="283"/>
        <w:jc w:val="center"/>
        <w:rPr>
          <w:rFonts w:ascii="Times New Roman;Times;serif" w:hAnsi="Times New Roman;Times;serif"/>
          <w:b/>
          <w:color w:val="000000"/>
          <w:sz w:val="20"/>
        </w:rPr>
      </w:pPr>
      <w:bookmarkStart w:id="38" w:name="tDU"/>
      <w:bookmarkEnd w:id="38"/>
      <w:r>
        <w:rPr>
          <w:rFonts w:ascii="Times New Roman;Times;serif" w:hAnsi="Times New Roman;Times;serif"/>
          <w:b/>
          <w:color w:val="000000"/>
          <w:sz w:val="20"/>
        </w:rPr>
        <w:t xml:space="preserve">DESCRIPTION OF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3543x1_s3_108-desc_pg13"/>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any particular issuance of units will describe the terms of those units, including, to the extent applicable,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units and the securities comprising the units, including whether and under what circumstances those securities may be held or transferred separately;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 for the issuance, payment, settlement, transfer or exchange of the units or of the securities comprising the units; and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units will be issued in fully registered or global form.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3543x1_s3_109-plan_pg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 w:name="tPOD"/>
      <w:bookmarkEnd w:id="41"/>
      <w:r>
        <w:rPr>
          <w:rFonts w:ascii="Times New Roman;Times;serif" w:hAnsi="Times New Roman;Times;serif"/>
          <w:b/>
          <w:color w:val="000000"/>
          <w:sz w:val="20"/>
        </w:rPr>
        <w:t>PLAN OF DISTRIBUTION</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securities: </w:t>
      </w:r>
    </w:p>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underwriters;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dealers; </w:t>
            </w:r>
          </w:p>
        </w:tc>
      </w:tr>
    </w:tbl>
    <w:tbl>
      <w:tblPr>
        <w:tblW w:w="1450" w:type="dxa"/>
        <w:jc w:val="left"/>
        <w:tblInd w:w="0" w:type="dxa"/>
        <w:tblLayout w:type="fixed"/>
        <w:tblCellMar>
          <w:top w:w="0" w:type="dxa"/>
          <w:left w:w="0" w:type="dxa"/>
          <w:bottom w:w="0" w:type="dxa"/>
          <w:right w:w="0" w:type="dxa"/>
        </w:tblCellMar>
      </w:tblPr>
      <w:tblGrid>
        <w:gridCol w:w="110"/>
        <w:gridCol w:w="1340"/>
      </w:tblGrid>
      <w:tr>
        <w:trPr/>
        <w:tc>
          <w:tcPr>
            <w:tcW w:w="11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agents; </w:t>
            </w:r>
          </w:p>
        </w:tc>
      </w:tr>
    </w:tbl>
    <w:tbl>
      <w:tblPr>
        <w:tblW w:w="2185" w:type="dxa"/>
        <w:jc w:val="left"/>
        <w:tblInd w:w="0" w:type="dxa"/>
        <w:tblLayout w:type="fixed"/>
        <w:tblCellMar>
          <w:top w:w="0" w:type="dxa"/>
          <w:left w:w="0" w:type="dxa"/>
          <w:bottom w:w="0" w:type="dxa"/>
          <w:right w:w="0" w:type="dxa"/>
        </w:tblCellMar>
      </w:tblPr>
      <w:tblGrid>
        <w:gridCol w:w="110"/>
        <w:gridCol w:w="2075"/>
      </w:tblGrid>
      <w:tr>
        <w:trPr/>
        <w:tc>
          <w:tcPr>
            <w:tcW w:w="110" w:type="dxa"/>
            <w:tcBorders/>
            <w:vAlign w:val="center"/>
          </w:tcPr>
          <w:p>
            <w:pPr>
              <w:pStyle w:val="TableContents"/>
              <w:bidi w:val="0"/>
              <w:spacing w:before="0" w:after="0"/>
              <w:jc w:val="left"/>
              <w:rPr>
                <w:color w:val="000000"/>
              </w:rPr>
            </w:pPr>
            <w:r>
              <w:rPr>
                <w:color w:val="000000"/>
              </w:rPr>
              <w:t>•</w:t>
            </w:r>
          </w:p>
        </w:tc>
        <w:tc>
          <w:tcPr>
            <w:tcW w:w="2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directly to purchasers; or </w:t>
            </w:r>
          </w:p>
        </w:tc>
      </w:tr>
    </w:tbl>
    <w:tbl>
      <w:tblPr>
        <w:tblW w:w="4615" w:type="dxa"/>
        <w:jc w:val="left"/>
        <w:tblInd w:w="0" w:type="dxa"/>
        <w:tblLayout w:type="fixed"/>
        <w:tblCellMar>
          <w:top w:w="0" w:type="dxa"/>
          <w:left w:w="0" w:type="dxa"/>
          <w:bottom w:w="0" w:type="dxa"/>
          <w:right w:w="0" w:type="dxa"/>
        </w:tblCellMar>
      </w:tblPr>
      <w:tblGrid>
        <w:gridCol w:w="110"/>
        <w:gridCol w:w="4505"/>
      </w:tblGrid>
      <w:tr>
        <w:trPr/>
        <w:tc>
          <w:tcPr>
            <w:tcW w:w="11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any of these methods of sale.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may issue the securities as a dividend or distribution or in a subscription rights offering to our existing securityholders.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distribution of the securities may be effected from time to time in one or more transactions: </w:t>
      </w:r>
    </w:p>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 fixed price or prices that may be changed from time to time;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market prices prevailing at the time of sale; </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prices related to such prevailing market prices; or </w:t>
            </w:r>
          </w:p>
        </w:tc>
      </w:tr>
    </w:tbl>
    <w:tbl>
      <w:tblPr>
        <w:tblW w:w="1810" w:type="dxa"/>
        <w:jc w:val="left"/>
        <w:tblInd w:w="0" w:type="dxa"/>
        <w:tblLayout w:type="fixed"/>
        <w:tblCellMar>
          <w:top w:w="0" w:type="dxa"/>
          <w:left w:w="0" w:type="dxa"/>
          <w:bottom w:w="0" w:type="dxa"/>
          <w:right w:w="0" w:type="dxa"/>
        </w:tblCellMar>
      </w:tblPr>
      <w:tblGrid>
        <w:gridCol w:w="110"/>
        <w:gridCol w:w="1700"/>
      </w:tblGrid>
      <w:tr>
        <w:trPr/>
        <w:tc>
          <w:tcPr>
            <w:tcW w:w="11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negotiated prices.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supplement will describe the method of distribution of the securities and any applicable restrictions.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with respect to the securities of a particular series will describe the terms of the offering of the securities, including the following: </w:t>
      </w:r>
    </w:p>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the agent or any underwriters; </w:t>
            </w:r>
          </w:p>
        </w:tc>
      </w:tr>
    </w:tbl>
    <w:tbl>
      <w:tblPr>
        <w:tblW w:w="3175" w:type="dxa"/>
        <w:jc w:val="left"/>
        <w:tblInd w:w="0" w:type="dxa"/>
        <w:tblLayout w:type="fixed"/>
        <w:tblCellMar>
          <w:top w:w="0" w:type="dxa"/>
          <w:left w:w="0" w:type="dxa"/>
          <w:bottom w:w="0" w:type="dxa"/>
          <w:right w:w="0" w:type="dxa"/>
        </w:tblCellMar>
      </w:tblPr>
      <w:tblGrid>
        <w:gridCol w:w="110"/>
        <w:gridCol w:w="3065"/>
      </w:tblGrid>
      <w:tr>
        <w:trPr/>
        <w:tc>
          <w:tcPr>
            <w:tcW w:w="110" w:type="dxa"/>
            <w:tcBorders/>
            <w:vAlign w:val="center"/>
          </w:tcPr>
          <w:p>
            <w:pPr>
              <w:pStyle w:val="TableContents"/>
              <w:bidi w:val="0"/>
              <w:spacing w:before="0" w:after="0"/>
              <w:jc w:val="left"/>
              <w:rPr>
                <w:color w:val="000000"/>
              </w:rPr>
            </w:pPr>
            <w:r>
              <w:rPr>
                <w:color w:val="000000"/>
              </w:rPr>
              <w:t>•</w:t>
            </w:r>
          </w:p>
        </w:tc>
        <w:tc>
          <w:tcPr>
            <w:tcW w:w="3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 offering or purchase price; </w:t>
            </w:r>
          </w:p>
        </w:tc>
      </w:tr>
    </w:tbl>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and commissions to be allowed or paid to the agent or underwriters;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other items constituting underwriting compensation;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and commissions to be allowed or paid to dealers; and </w:t>
            </w:r>
          </w:p>
        </w:tc>
      </w:tr>
    </w:tbl>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exchanges on which the securities will be listed.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engage in at-the-market offerings into an existing trading market in accordance with Rule 415(a)(4). Any at-the-market offering will be through an underwriter or underwriters acting as principal or agent for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3543x1_s3_109-plan_pg2"/>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by an institution of the securities covered under that contract shall not at the time of delivery be prohibited under the laws of the jurisdiction to which that institution is subject;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securities are also being sold to underwriters acting as principals for their own account, the underwriters shall have purchased such securities not sold for delayed delivery.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underwriters and other persons acting as agents will not have any responsibility in respect of the validity or performance of delayed delivery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days after the trade date for your securities, to make alternative settlement arrangements to prevent a failed settlement.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3543x1_s3_110-legal_pg1"/>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4" w:name="tLM"/>
      <w:bookmarkEnd w:id="44"/>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securities offered hereby will be passed upon for us by Wilson Sonsini Goodrich &amp; Rosati, Professional Corporation, Palo Alto, California. Additional legal matters may be passed upon for us, or any underwriters, dealers or agents, by counsel that we will name in the applicable prospectus supplement. </w:t>
      </w:r>
    </w:p>
    <w:p>
      <w:pPr>
        <w:pStyle w:val="TextBody"/>
        <w:bidi w:val="0"/>
        <w:spacing w:before="410" w:after="283"/>
        <w:jc w:val="center"/>
        <w:rPr>
          <w:rFonts w:ascii="Times New Roman;Times;serif" w:hAnsi="Times New Roman;Times;serif"/>
          <w:b/>
          <w:color w:val="000000"/>
          <w:sz w:val="20"/>
        </w:rPr>
      </w:pPr>
      <w:bookmarkStart w:id="45" w:name="tEXP"/>
      <w:bookmarkEnd w:id="45"/>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consolidated financial statements appearing in our Annual Report on Form 10-K for the year ended December 31, 2025, have been audited by Farber Hass Hurley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10" w:after="283"/>
        <w:jc w:val="center"/>
        <w:rPr>
          <w:rFonts w:ascii="Times New Roman;Times;serif" w:hAnsi="Times New Roman;Times;serif"/>
          <w:b/>
          <w:color w:val="000000"/>
          <w:sz w:val="20"/>
        </w:rPr>
      </w:pPr>
      <w:bookmarkStart w:id="46" w:name="tWYC"/>
      <w:bookmarkEnd w:id="46"/>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available to the public over the Internet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Copies of certain information filed by us with the SEC are also available on our website at </w:t>
      </w:r>
      <w:r>
        <w:rPr>
          <w:rFonts w:ascii="Times New Roman;Times;serif" w:hAnsi="Times New Roman;Times;serif"/>
          <w:i/>
          <w:color w:val="000000"/>
          <w:sz w:val="20"/>
        </w:rPr>
        <w:t>https://virnetx.com/</w:t>
      </w:r>
      <w:r>
        <w:rPr>
          <w:rFonts w:ascii="Times New Roman;Times;serif" w:hAnsi="Times New Roman;Times;serif"/>
          <w:color w:val="000000"/>
          <w:sz w:val="20"/>
        </w:rPr>
        <w:t xml:space="preserve">. Information accessible on or through our website is not a part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3543x1_s3_111-incorp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INC"/>
      <w:bookmarkEnd w:id="48"/>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 </w:t>
      </w:r>
    </w:p>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w:t>
            </w:r>
            <w:hyperlink r:id="rId5">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year ended December 31, 2025, filed with the SEC on March 24,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information incorporated by reference into our Annual Report on Form 10-K for the year ended December 31, 2025 from our Definitive Proxy Statement on </w:t>
            </w:r>
            <w:hyperlink r:id="rId6">
              <w:r>
                <w:rPr>
                  <w:rStyle w:val="InternetLink"/>
                  <w:rFonts w:ascii="Times New Roman;Times;serif" w:hAnsi="Times New Roman;Times;serif"/>
                  <w:color w:val="000080"/>
                  <w:sz w:val="20"/>
                </w:rPr>
                <w:t>Schedule 14A</w:t>
              </w:r>
            </w:hyperlink>
            <w:r>
              <w:rPr>
                <w:rFonts w:ascii="Times New Roman;Times;serif" w:hAnsi="Times New Roman;Times;serif"/>
                <w:color w:val="000000"/>
                <w:sz w:val="20"/>
              </w:rPr>
              <w:t xml:space="preserve">, filed with the SEC on April 24, 2026;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 on </w:t>
            </w:r>
            <w:hyperlink r:id="rId7">
              <w:r>
                <w:rPr>
                  <w:rStyle w:val="InternetLink"/>
                  <w:rFonts w:ascii="Times New Roman;Times;serif" w:hAnsi="Times New Roman;Times;serif"/>
                  <w:color w:val="000080"/>
                  <w:sz w:val="20"/>
                </w:rPr>
                <w:t>Form 10-Q</w:t>
              </w:r>
            </w:hyperlink>
            <w:r>
              <w:rPr>
                <w:rFonts w:ascii="Times New Roman;Times;serif" w:hAnsi="Times New Roman;Times;serif"/>
                <w:color w:val="000000"/>
                <w:sz w:val="20"/>
              </w:rPr>
              <w:t xml:space="preserve">, filed on May 15,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common stock contained in the Registration Statement on </w:t>
            </w:r>
            <w:hyperlink r:id="rId8">
              <w:r>
                <w:rPr>
                  <w:rStyle w:val="InternetLink"/>
                  <w:rFonts w:ascii="Times New Roman;Times;serif" w:hAnsi="Times New Roman;Times;serif"/>
                  <w:color w:val="000080"/>
                  <w:sz w:val="20"/>
                </w:rPr>
                <w:t>Form 8-A</w:t>
              </w:r>
            </w:hyperlink>
            <w:r>
              <w:rPr>
                <w:rFonts w:ascii="Times New Roman;Times;serif" w:hAnsi="Times New Roman;Times;serif"/>
                <w:color w:val="000000"/>
                <w:sz w:val="20"/>
              </w:rPr>
              <w:t xml:space="preserve"> relating thereto, filed with the SEC on September 22, 2025, including any amendment or report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at no cost, by writing or telephoning us at the following address and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VirnetX Holding 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308 Dorla Court, Suite 206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Zephyr Cove, Nevada 89448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(775) 548-1785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3543x1_s3_300-part2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495" w:type="dxa"/>
        <w:jc w:val="left"/>
        <w:tblInd w:w="0" w:type="dxa"/>
        <w:tblLayout w:type="fixed"/>
        <w:tblCellMar>
          <w:top w:w="0" w:type="dxa"/>
          <w:left w:w="0" w:type="dxa"/>
          <w:bottom w:w="0" w:type="dxa"/>
          <w:right w:w="0" w:type="dxa"/>
        </w:tblCellMar>
      </w:tblPr>
      <w:tblGrid>
        <w:gridCol w:w="710"/>
        <w:gridCol w:w="378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fees and expenses to be paid by us in connection with the issuance and distribution of the securities being registered, other than discounts and commissions to be paid to agents or underwriters. All amounts shown are estimates except for the SEC registration fee and the Financial Industry Regulatory Authority (FINRA) filing fee. </w:t>
      </w:r>
    </w:p>
    <w:tbl>
      <w:tblPr>
        <w:tblW w:w="4820" w:type="dxa"/>
        <w:jc w:val="left"/>
        <w:tblInd w:w="0" w:type="dxa"/>
        <w:tblLayout w:type="fixed"/>
        <w:tblCellMar>
          <w:top w:w="0" w:type="dxa"/>
          <w:left w:w="0" w:type="dxa"/>
          <w:bottom w:w="0" w:type="dxa"/>
          <w:right w:w="0" w:type="dxa"/>
        </w:tblCellMar>
      </w:tblPr>
      <w:tblGrid>
        <w:gridCol w:w="3725"/>
        <w:gridCol w:w="140"/>
        <w:gridCol w:w="140"/>
        <w:gridCol w:w="815"/>
      </w:tblGrid>
      <w:tr>
        <w:trPr/>
        <w:tc>
          <w:tcPr>
            <w:tcW w:w="3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37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Paid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$2,762 </w:t>
            </w:r>
          </w:p>
        </w:tc>
      </w:tr>
      <w:tr>
        <w:trPr/>
        <w:tc>
          <w:tcPr>
            <w:tcW w:w="3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FINRA filing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exchange listing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and engraving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agent and registrar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Trustee’s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center"/>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r>
      <w:tr>
        <w:trPr/>
        <w:tc>
          <w:tcPr>
            <w:tcW w:w="37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$ *  </w:t>
            </w:r>
          </w:p>
        </w:tc>
      </w:tr>
      <w:tr>
        <w:trPr/>
        <w:tc>
          <w:tcPr>
            <w:tcW w:w="3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fees and expenses are calculated based on the securities offered and the number of issuances and accordingly cannot be estimated at this time. </w:t>
            </w:r>
          </w:p>
        </w:tc>
      </w:tr>
    </w:tbl>
    <w:tbl>
      <w:tblPr>
        <w:tblW w:w="4255" w:type="dxa"/>
        <w:jc w:val="left"/>
        <w:tblInd w:w="0" w:type="dxa"/>
        <w:tblLayout w:type="fixed"/>
        <w:tblCellMar>
          <w:top w:w="0" w:type="dxa"/>
          <w:left w:w="0" w:type="dxa"/>
          <w:bottom w:w="0" w:type="dxa"/>
          <w:right w:w="0" w:type="dxa"/>
        </w:tblCellMar>
      </w:tblPr>
      <w:tblGrid>
        <w:gridCol w:w="710"/>
        <w:gridCol w:w="354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5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145(a) of the Delaware General Corporation Law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145(b) of the Delaware General Corporation Law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he or she acted under similar standards, except that no indemnification may be made in respect of any claim, issue or matter as to which such person shall have been adjudged to be liable to the corporation unless and only to the extent that the court in which such action or suit was brought shall determine that, despite the adjudication of liability but in view of all the circumstances of the case, such person is fairly and reasonably entitled to be indemnified for such expenses which the court shall deem proper.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of the Delaware General Corporation Law further provides that: (i) to the extent that a present or former or director or officer of a corporation has been successful on the merits or otherwise in the defense of any action, suit or proceeding referred to in subsections (a) and (b) or in the defense of any claim, issue or matter therein, such person shall be indemnified against expenses (including attorneys’ fees) actually and reasonably incurred by him or her in connection therewith; (ii) indemnification provided for by Section 145 shall not be deemed exclusive of any other rights to which the indemnified party may be entitled; and (iii) the corporation may purchase and maintain insurance on behalf of any present or former director, officer, employee or agent of the corporation or any person who at the request of the corporation was serving in such capacity for another entity against any liability asserted against such person and incurred by him or her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3543x1_s3_300-part2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such capacity or arising out of his or her status as such, whether or not the corporation would have the power to indemnify him or her against such liabilities under Section 145.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Article XV of our Amended and Restated Certificate of Incorporation authorizes us to provide for the indemnification of directors to the fullest extent permissible under Delaware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Article VI of our Bylaws provides for the indemnification of officers, directors and employees and agents of the corporation against expenses (including attorneys’ fees), judgments, fines, settlements and other amounts actually and reasonably incurred in connection with any proceeding, arising by reason of the fact that such person is or was an agent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indemnification agreements with our directors, executive officers and others, in addition to indemnification provided for in our Bylaws, and intend to enter into indemnification agreements with any new directors and executive officers in the future.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purchased and intend to maintain insurance on behalf of any person who is or was a director or officer against any loss arising from any claim asserted against him or her and incurred by him or her in any such capacity, subject to certain exclusions.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underwriting agreement to be filed as Exhibit 1.1 to this registration statement may provide for indemnification by the underwriters of us and our directors and officers for certain liabilities arising under the Securities Act or the Exchange Act, or otherwise.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also the undertakings set out in response to Item 17 herein. </w:t>
      </w:r>
    </w:p>
    <w:tbl>
      <w:tblPr>
        <w:tblW w:w="1480" w:type="dxa"/>
        <w:jc w:val="left"/>
        <w:tblInd w:w="0" w:type="dxa"/>
        <w:tblLayout w:type="fixed"/>
        <w:tblCellMar>
          <w:top w:w="0" w:type="dxa"/>
          <w:left w:w="0" w:type="dxa"/>
          <w:bottom w:w="0" w:type="dxa"/>
          <w:right w:w="0" w:type="dxa"/>
        </w:tblCellMar>
      </w:tblPr>
      <w:tblGrid>
        <w:gridCol w:w="710"/>
        <w:gridCol w:w="77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tbl>
      <w:tblPr>
        <w:tblW w:w="10205" w:type="dxa"/>
        <w:jc w:val="left"/>
        <w:tblInd w:w="0" w:type="dxa"/>
        <w:tblLayout w:type="fixed"/>
        <w:tblCellMar>
          <w:top w:w="0" w:type="dxa"/>
          <w:left w:w="0" w:type="dxa"/>
          <w:bottom w:w="0" w:type="dxa"/>
          <w:right w:w="0" w:type="dxa"/>
        </w:tblCellMar>
      </w:tblPr>
      <w:tblGrid>
        <w:gridCol w:w="620"/>
        <w:gridCol w:w="140"/>
        <w:gridCol w:w="140"/>
        <w:gridCol w:w="4756"/>
        <w:gridCol w:w="140"/>
        <w:gridCol w:w="140"/>
        <w:gridCol w:w="425"/>
        <w:gridCol w:w="140"/>
        <w:gridCol w:w="140"/>
        <w:gridCol w:w="774"/>
        <w:gridCol w:w="140"/>
        <w:gridCol w:w="140"/>
        <w:gridCol w:w="605"/>
        <w:gridCol w:w="140"/>
        <w:gridCol w:w="140"/>
        <w:gridCol w:w="619"/>
        <w:gridCol w:w="140"/>
        <w:gridCol w:w="140"/>
        <w:gridCol w:w="726"/>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3"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r>
      <w:tr>
        <w:trPr/>
        <w:tc>
          <w:tcPr>
            <w:tcW w:w="620" w:type="dxa"/>
            <w:vMerge w:val="restart"/>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756" w:type="dxa"/>
            <w:vMerge w:val="restart"/>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Description</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3" w:type="dxa"/>
            <w:gridSpan w:val="10"/>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Incorporation by Reference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26" w:type="dxa"/>
            <w:vMerge w:val="restart"/>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Herewith </w:t>
            </w:r>
          </w:p>
        </w:tc>
      </w:tr>
      <w:tr>
        <w:trPr/>
        <w:tc>
          <w:tcPr>
            <w:tcW w:w="620" w:type="dxa"/>
            <w:vMerge w:val="continue"/>
            <w:tcBorders>
              <w:bottom w:val="single" w:sz="8" w:space="0" w:color="000000"/>
            </w:tcBorders>
            <w:tcMar>
              <w:bottom w:w="33"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4756" w:type="dxa"/>
            <w:vMerge w:val="continue"/>
            <w:tcBorders>
              <w:bottom w:val="single" w:sz="8" w:space="0" w:color="000000"/>
            </w:tcBorders>
            <w:tcMar>
              <w:bottom w:w="33"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26" w:type="dxa"/>
            <w:vMerge w:val="continue"/>
            <w:tcBorders>
              <w:bottom w:val="single" w:sz="8" w:space="0" w:color="000000"/>
            </w:tcBorders>
            <w:tcMar>
              <w:bottom w:w="33" w:type="dxa"/>
            </w:tcMar>
            <w:vAlign w:val="center"/>
          </w:tcPr>
          <w:p>
            <w:pPr>
              <w:pStyle w:val="Normal"/>
              <w:bidi w:val="0"/>
              <w:jc w:val="left"/>
              <w:rPr/>
            </w:pPr>
            <w:r>
              <w:rPr/>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Underwriting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ind w:left="0" w:right="0" w:hanging="0"/>
              <w:jc w:val="left"/>
              <w:rPr/>
            </w:pPr>
            <w:hyperlink r:id="rId9">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Certificate of Incorporation of the Company, as amended.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000-26895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11/01/2007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0">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Amendment to the Amended and Restated Certificate of Incorporation of the 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001-33852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10/25/2023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ind w:left="0" w:right="0" w:hanging="0"/>
              <w:jc w:val="left"/>
              <w:rPr/>
            </w:pPr>
            <w:hyperlink r:id="rId11">
              <w:r>
                <w:rPr>
                  <w:rStyle w:val="InternetLink"/>
                  <w:rFonts w:ascii="Times New Roman;Times;serif" w:hAnsi="Times New Roman;Times;serif"/>
                  <w:color w:val="000000"/>
                  <w:sz w:val="20"/>
                </w:rPr>
                <w:t>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the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001-33852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01/27/2023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00"/>
                  <w:sz w:val="20"/>
                </w:rPr>
                <w:t>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Specimen Common Stock Certificate.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333-226413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07/30/2018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Preferred Stock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73543x1_ex4-3.htm">
              <w:r>
                <w:rPr>
                  <w:rStyle w:val="InternetLink"/>
                  <w:rFonts w:ascii="Times New Roman;Times;serif" w:hAnsi="Times New Roman;Times;serif"/>
                  <w:color w:val="000000"/>
                  <w:sz w:val="20"/>
                </w:rPr>
                <w:t>4.3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Indenture.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Debt Security.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Deposit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Warrant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Subscription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Purchase Contract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Unit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Unit.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pPr>
            <w:hyperlink w:anchor="ny20073543x1_ex5-1.htm">
              <w:r>
                <w:rPr>
                  <w:rStyle w:val="InternetLink"/>
                  <w:rFonts w:ascii="Times New Roman;Times;serif" w:hAnsi="Times New Roman;Times;serif"/>
                  <w:color w:val="000000"/>
                  <w:sz w:val="20"/>
                </w:rPr>
                <w:t>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Wilson Sonsini Goodrich &amp; Rosati, Professional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620" w:type="dxa"/>
            <w:tcBorders/>
            <w:vAlign w:val="center"/>
          </w:tcPr>
          <w:p>
            <w:pPr>
              <w:pStyle w:val="TableContents"/>
              <w:bidi w:val="0"/>
              <w:spacing w:before="0" w:after="283"/>
              <w:ind w:left="0" w:right="0" w:hanging="0"/>
              <w:jc w:val="left"/>
              <w:rPr/>
            </w:pPr>
            <w:hyperlink w:anchor="ny20073543x1_ex23-1.htm">
              <w:r>
                <w:rPr>
                  <w:rStyle w:val="InternetLink"/>
                  <w:rFonts w:ascii="Times New Roman;Times;serif" w:hAnsi="Times New Roman;Times;serif"/>
                  <w:color w:val="000000"/>
                  <w:sz w:val="20"/>
                </w:rPr>
                <w:t>23.1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Independent Registered Public Accounting Firm.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620" w:type="dxa"/>
            <w:tcBorders/>
            <w:shd w:fill="CCEEFF" w:val="clear"/>
            <w:vAlign w:val="center"/>
          </w:tcPr>
          <w:p>
            <w:pPr>
              <w:pStyle w:val="TableContents"/>
              <w:bidi w:val="0"/>
              <w:spacing w:before="0" w:after="283"/>
              <w:ind w:left="0" w:right="0" w:hanging="0"/>
              <w:jc w:val="left"/>
              <w:rPr/>
            </w:pPr>
            <w:hyperlink w:anchor="ny20073543x1_ex5-1.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Wilson Sonsini Goodrich &amp; Rosati, Professional Corporation (included in the opinion filed as Exhibit 5.1 to this Registration Statement).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620" w:type="dxa"/>
            <w:tcBorders/>
            <w:vAlign w:val="center"/>
          </w:tcPr>
          <w:p>
            <w:pPr>
              <w:pStyle w:val="TableContents"/>
              <w:bidi w:val="0"/>
              <w:spacing w:before="0" w:after="283"/>
              <w:ind w:left="0" w:right="0" w:hanging="0"/>
              <w:jc w:val="left"/>
              <w:rPr/>
            </w:pPr>
            <w:hyperlink w:anchor="tSIG">
              <w:r>
                <w:rPr>
                  <w:rStyle w:val="InternetLink"/>
                  <w:rFonts w:ascii="Times New Roman;Times;serif" w:hAnsi="Times New Roman;Times;serif"/>
                  <w:color w:val="000000"/>
                  <w:sz w:val="20"/>
                </w:rPr>
                <w:t>24.1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of Attorney (included on the signature page to this Registration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T-1 Statement of Eligibility of Trustee for Indenture under the Trust Indenture Act of 1939.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ind w:left="0" w:right="0" w:hanging="0"/>
              <w:jc w:val="left"/>
              <w:rPr/>
            </w:pPr>
            <w:hyperlink w:anchor="ny20073543x1_ex107.htm">
              <w:r>
                <w:rPr>
                  <w:rStyle w:val="InternetLink"/>
                  <w:rFonts w:ascii="Times New Roman;Times;serif" w:hAnsi="Times New Roman;Times;serif"/>
                  <w:color w:val="000000"/>
                  <w:sz w:val="20"/>
                </w:rPr>
                <w:t>107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r>
    </w:tbl>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7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by amendment or as an exhibit to a Form 8-K and incorporated by reference herein. </w:t>
            </w:r>
          </w:p>
        </w:tc>
      </w:tr>
    </w:tbl>
    <w:tbl>
      <w:tblPr>
        <w:tblW w:w="6550" w:type="dxa"/>
        <w:jc w:val="left"/>
        <w:tblInd w:w="0" w:type="dxa"/>
        <w:tblLayout w:type="fixed"/>
        <w:tblCellMar>
          <w:top w:w="0" w:type="dxa"/>
          <w:left w:w="0" w:type="dxa"/>
          <w:bottom w:w="0" w:type="dxa"/>
          <w:right w:w="0" w:type="dxa"/>
        </w:tblCellMar>
      </w:tblPr>
      <w:tblGrid>
        <w:gridCol w:w="200"/>
        <w:gridCol w:w="6350"/>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pursuant to Section 305(b)(2) of the Trust Indenture Act of 1939, as amended.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3543x1_s3_300-part2_pg3"/>
        <w:bookmarkEnd w:id="51"/>
        <w:r>
          <w:rPr>
            <w:rStyle w:val="InternetLink"/>
            <w:rFonts w:ascii="Times New Roman;Times;Serif" w:hAnsi="Times New Roman;Times;Serif"/>
            <w:b/>
            <w:caps w:val="false"/>
            <w:smallCaps w:val="false"/>
            <w:color w:val="000000"/>
            <w:sz w:val="16"/>
          </w:rPr>
          <w:t>TABLE OF CONTENTS</w:t>
        </w:r>
      </w:hyperlink>
    </w:p>
    <w:tbl>
      <w:tblPr>
        <w:tblW w:w="1915" w:type="dxa"/>
        <w:jc w:val="left"/>
        <w:tblInd w:w="0" w:type="dxa"/>
        <w:tblLayout w:type="fixed"/>
        <w:tblCellMar>
          <w:top w:w="0" w:type="dxa"/>
          <w:left w:w="0" w:type="dxa"/>
          <w:bottom w:w="0" w:type="dxa"/>
          <w:right w:w="0" w:type="dxa"/>
        </w:tblCellMar>
      </w:tblPr>
      <w:tblGrid>
        <w:gridCol w:w="710"/>
        <w:gridCol w:w="120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tbl>
      <w:tblPr>
        <w:tblW w:w="4060" w:type="dxa"/>
        <w:jc w:val="left"/>
        <w:tblInd w:w="0" w:type="dxa"/>
        <w:tblLayout w:type="fixed"/>
        <w:tblCellMar>
          <w:top w:w="0" w:type="dxa"/>
          <w:left w:w="0" w:type="dxa"/>
          <w:bottom w:w="0" w:type="dxa"/>
          <w:right w:w="0" w:type="dxa"/>
        </w:tblCellMar>
      </w:tblPr>
      <w:tblGrid>
        <w:gridCol w:w="230"/>
        <w:gridCol w:w="38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6415" w:type="dxa"/>
        <w:jc w:val="left"/>
        <w:tblInd w:w="0" w:type="dxa"/>
        <w:tblLayout w:type="fixed"/>
        <w:tblCellMar>
          <w:top w:w="0" w:type="dxa"/>
          <w:left w:w="0" w:type="dxa"/>
          <w:bottom w:w="0" w:type="dxa"/>
          <w:right w:w="0" w:type="dxa"/>
        </w:tblCellMar>
      </w:tblPr>
      <w:tblGrid>
        <w:gridCol w:w="200"/>
        <w:gridCol w:w="62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however</w:t>
      </w:r>
      <w:r>
        <w:rPr>
          <w:rFonts w:ascii="Times New Roman;Times;serif" w:hAnsi="Times New Roman;Times;serif"/>
          <w:i w:val="false"/>
          <w:caps w:val="false"/>
          <w:smallCaps w:val="false"/>
          <w:color w:val="000000"/>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7300" w:type="dxa"/>
        <w:jc w:val="left"/>
        <w:tblInd w:w="0" w:type="dxa"/>
        <w:tblLayout w:type="fixed"/>
        <w:tblCellMar>
          <w:top w:w="0" w:type="dxa"/>
          <w:left w:w="0" w:type="dxa"/>
          <w:bottom w:w="0" w:type="dxa"/>
          <w:right w:w="0" w:type="dxa"/>
        </w:tblCellMar>
      </w:tblPr>
      <w:tblGrid>
        <w:gridCol w:w="245"/>
        <w:gridCol w:w="70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registrant is relying on Rule 430B,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offering thereof.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3543x1_s3_300-part2_pg4"/>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such document immediately prior to such effective date. Or,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30" w:type="dxa"/>
        <w:jc w:val="left"/>
        <w:tblInd w:w="0" w:type="dxa"/>
        <w:tblLayout w:type="fixed"/>
        <w:tblCellMar>
          <w:top w:w="0" w:type="dxa"/>
          <w:left w:w="0" w:type="dxa"/>
          <w:bottom w:w="0" w:type="dxa"/>
          <w:right w:w="0" w:type="dxa"/>
        </w:tblCellMar>
      </w:tblPr>
      <w:tblGrid>
        <w:gridCol w:w="305"/>
        <w:gridCol w:w="882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an application for the purpose of determining the eligibility of the trustee to act under subsection (a) of Section 310 of the Trust Indenture Act of 1939, as amended, or the Trust Indenture Act, in accordance with the rules and regulations prescribed by the Commission under Section 305(b)(2) of the Trust Indenture Act.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3543x1_s3_400-sig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SIG"/>
      <w:bookmarkEnd w:id="54"/>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Zephyr Cove, State of Nevada, on May 15, 2026. </w:t>
      </w:r>
    </w:p>
    <w:tbl>
      <w:tblPr>
        <w:tblW w:w="4400" w:type="dxa"/>
        <w:jc w:val="left"/>
        <w:tblInd w:w="0" w:type="dxa"/>
        <w:tblLayout w:type="fixed"/>
        <w:tblCellMar>
          <w:top w:w="0" w:type="dxa"/>
          <w:left w:w="0" w:type="dxa"/>
          <w:bottom w:w="0" w:type="dxa"/>
          <w:right w:w="0" w:type="dxa"/>
        </w:tblCellMar>
      </w:tblPr>
      <w:tblGrid>
        <w:gridCol w:w="155"/>
        <w:gridCol w:w="140"/>
        <w:gridCol w:w="140"/>
        <w:gridCol w:w="590"/>
        <w:gridCol w:w="140"/>
        <w:gridCol w:w="140"/>
        <w:gridCol w:w="30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VIRNETX HOLDING CORPORATION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Kendall Larsen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Kendall Larsen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KNOW ALL PERSONS BY THESE PRESENTS, that each person whose signature appears below hereby constitutes and appoints Kendall Larsen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9935" w:type="dxa"/>
        <w:jc w:val="left"/>
        <w:tblInd w:w="0" w:type="dxa"/>
        <w:tblLayout w:type="fixed"/>
        <w:tblCellMar>
          <w:top w:w="0" w:type="dxa"/>
          <w:left w:w="0" w:type="dxa"/>
          <w:bottom w:w="0" w:type="dxa"/>
          <w:right w:w="0" w:type="dxa"/>
        </w:tblCellMar>
      </w:tblPr>
      <w:tblGrid>
        <w:gridCol w:w="1925"/>
        <w:gridCol w:w="140"/>
        <w:gridCol w:w="140"/>
        <w:gridCol w:w="6230"/>
        <w:gridCol w:w="140"/>
        <w:gridCol w:w="140"/>
        <w:gridCol w:w="1220"/>
      </w:tblGrid>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color w:val="000000"/>
              </w:rPr>
            </w:pPr>
            <w:r>
              <w:rPr>
                <w:color w:val="000000"/>
              </w:rPr>
              <w:t> </w:t>
            </w:r>
          </w:p>
        </w:tc>
      </w:tr>
      <w:tr>
        <w:trPr/>
        <w:tc>
          <w:tcPr>
            <w:tcW w:w="19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 Kendall Larsen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Chief Executive Officer and President (</w:t>
            </w:r>
            <w:r>
              <w:rPr>
                <w:rFonts w:ascii="Times New Roman;Times;serif" w:hAnsi="Times New Roman;Times;serif"/>
                <w:i/>
                <w:color w:val="000000"/>
                <w:sz w:val="20"/>
              </w:rPr>
              <w:t>Principal Executive Officer</w:t>
            </w:r>
            <w:r>
              <w:rPr>
                <w:rFonts w:ascii="Times New Roman;Times;serif" w:hAnsi="Times New Roman;Times;serif"/>
                <w:color w:val="000000"/>
                <w:sz w:val="2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2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15, 2026 </w:t>
            </w:r>
          </w:p>
        </w:tc>
      </w:tr>
      <w:tr>
        <w:trPr/>
        <w:tc>
          <w:tcPr>
            <w:tcW w:w="19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Kendall Larsen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20" w:type="dxa"/>
            <w:vMerge w:val="continue"/>
            <w:tcBorders/>
            <w:vAlign w:val="center"/>
          </w:tcPr>
          <w:p>
            <w:pPr>
              <w:pStyle w:val="Normal"/>
              <w:bidi w:val="0"/>
              <w:jc w:val="left"/>
              <w:rPr/>
            </w:pPr>
            <w:r>
              <w:rPr/>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color w:val="000000"/>
              </w:rPr>
            </w:pPr>
            <w:r>
              <w:rPr>
                <w:color w:val="000000"/>
              </w:rPr>
              <w:t> </w:t>
            </w:r>
          </w:p>
        </w:tc>
      </w:tr>
      <w:tr>
        <w:trPr/>
        <w:tc>
          <w:tcPr>
            <w:tcW w:w="19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 Katherine Allanson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Principal Financial and Accounting Officer</w:t>
            </w:r>
            <w:r>
              <w:rPr>
                <w:rFonts w:ascii="Times New Roman;Times;serif" w:hAnsi="Times New Roman;Times;serif"/>
                <w:color w:val="000000"/>
                <w:sz w:val="2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2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15, 2026 </w:t>
            </w:r>
          </w:p>
        </w:tc>
      </w:tr>
      <w:tr>
        <w:trPr/>
        <w:tc>
          <w:tcPr>
            <w:tcW w:w="19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Katherine Allanson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20" w:type="dxa"/>
            <w:vMerge w:val="continue"/>
            <w:tcBorders/>
            <w:vAlign w:val="center"/>
          </w:tcPr>
          <w:p>
            <w:pPr>
              <w:pStyle w:val="Normal"/>
              <w:bidi w:val="0"/>
              <w:jc w:val="left"/>
              <w:rPr/>
            </w:pPr>
            <w:r>
              <w:rPr/>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color w:val="000000"/>
              </w:rPr>
            </w:pPr>
            <w:r>
              <w:rPr>
                <w:color w:val="000000"/>
              </w:rPr>
              <w:t> </w:t>
            </w:r>
          </w:p>
        </w:tc>
      </w:tr>
      <w:tr>
        <w:trPr/>
        <w:tc>
          <w:tcPr>
            <w:tcW w:w="19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 Heidy Chow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2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15, 2026 </w:t>
            </w:r>
          </w:p>
        </w:tc>
      </w:tr>
      <w:tr>
        <w:trPr/>
        <w:tc>
          <w:tcPr>
            <w:tcW w:w="19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Heidy Chow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20" w:type="dxa"/>
            <w:vMerge w:val="continue"/>
            <w:tcBorders/>
            <w:vAlign w:val="center"/>
          </w:tcPr>
          <w:p>
            <w:pPr>
              <w:pStyle w:val="Normal"/>
              <w:bidi w:val="0"/>
              <w:jc w:val="left"/>
              <w:rPr/>
            </w:pPr>
            <w:r>
              <w:rPr/>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color w:val="000000"/>
              </w:rPr>
            </w:pPr>
            <w:r>
              <w:rPr>
                <w:color w:val="000000"/>
              </w:rPr>
              <w:t> </w:t>
            </w:r>
          </w:p>
        </w:tc>
      </w:tr>
      <w:tr>
        <w:trPr/>
        <w:tc>
          <w:tcPr>
            <w:tcW w:w="19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 Gary W. Feiner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2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15, 2026 </w:t>
            </w:r>
          </w:p>
        </w:tc>
      </w:tr>
      <w:tr>
        <w:trPr/>
        <w:tc>
          <w:tcPr>
            <w:tcW w:w="19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Gary W. Feiner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20" w:type="dxa"/>
            <w:vMerge w:val="continue"/>
            <w:tcBorders/>
            <w:vAlign w:val="center"/>
          </w:tcPr>
          <w:p>
            <w:pPr>
              <w:pStyle w:val="Normal"/>
              <w:bidi w:val="0"/>
              <w:jc w:val="left"/>
              <w:rPr/>
            </w:pPr>
            <w:r>
              <w:rPr/>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color w:val="000000"/>
              </w:rPr>
            </w:pPr>
            <w:r>
              <w:rPr>
                <w:color w:val="000000"/>
              </w:rPr>
              <w:t> </w:t>
            </w:r>
          </w:p>
        </w:tc>
      </w:tr>
      <w:tr>
        <w:trPr/>
        <w:tc>
          <w:tcPr>
            <w:tcW w:w="19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 Michael F. Angelo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2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15, 2026 </w:t>
            </w:r>
          </w:p>
        </w:tc>
      </w:tr>
      <w:tr>
        <w:trPr/>
        <w:tc>
          <w:tcPr>
            <w:tcW w:w="19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Michael F. Angelo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20" w:type="dxa"/>
            <w:vMerge w:val="continue"/>
            <w:tcBorders/>
            <w:vAlign w:val="center"/>
          </w:tcPr>
          <w:p>
            <w:pPr>
              <w:pStyle w:val="Normal"/>
              <w:bidi w:val="0"/>
              <w:jc w:val="left"/>
              <w:rPr/>
            </w:pPr>
            <w:r>
              <w:rPr/>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color w:val="000000"/>
              </w:rPr>
            </w:pPr>
            <w:r>
              <w:rPr>
                <w:color w:val="000000"/>
              </w:rPr>
              <w:t> </w:t>
            </w:r>
          </w:p>
        </w:tc>
      </w:tr>
      <w:tr>
        <w:trPr/>
        <w:tc>
          <w:tcPr>
            <w:tcW w:w="19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 Thomas M. O’Brien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2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15, 2026 </w:t>
            </w:r>
          </w:p>
        </w:tc>
      </w:tr>
      <w:tr>
        <w:trPr/>
        <w:tc>
          <w:tcPr>
            <w:tcW w:w="19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Thomas M. O’Brien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20" w:type="dxa"/>
            <w:vMerge w:val="continue"/>
            <w:tcBorders/>
            <w:vAlign w:val="center"/>
          </w:tcPr>
          <w:p>
            <w:pPr>
              <w:pStyle w:val="Normal"/>
              <w:bidi w:val="0"/>
              <w:jc w:val="left"/>
              <w:rPr/>
            </w:pPr>
            <w:r>
              <w:rPr/>
            </w:r>
          </w:p>
        </w:tc>
      </w:tr>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jc w:val="left"/>
        <w:rPr/>
      </w:pPr>
      <w:r>
        <w:rPr/>
      </w:r>
      <w:bookmarkStart w:id="55" w:name="ny20073543x1_ex4-3.htm"/>
      <w:bookmarkStart w:id="56" w:name="ksny20073543x1_ex43"/>
      <w:bookmarkStart w:id="57" w:name="ny20073543x1_ex4-3.htm"/>
      <w:bookmarkStart w:id="58" w:name="ksny20073543x1_ex43"/>
      <w:bookmarkEnd w:id="57"/>
      <w:bookmarkEnd w:id="5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VIRNETX HOLDING CORPORATION</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 20</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[__]</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Trustee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Page</w:t>
      </w:r>
    </w:p>
    <w:p>
      <w:pPr>
        <w:pStyle w:val="TextBody"/>
        <w:bidi w:val="0"/>
        <w:spacing w:before="0" w:after="0"/>
        <w:jc w:val="left"/>
        <w:rPr>
          <w:color w:val="000000"/>
        </w:rPr>
      </w:pPr>
      <w:r>
        <w:rPr>
          <w:color w:val="000000"/>
        </w:rPr>
        <w:t xml:space="preserve">  </w:t>
      </w:r>
      <w:bookmarkStart w:id="59" w:name="z925fc50f97d1491d8c06ccac2af0823e"/>
      <w:bookmarkEnd w:id="59"/>
    </w:p>
    <w:tbl>
      <w:tblPr>
        <w:tblW w:w="7568" w:type="dxa"/>
        <w:jc w:val="left"/>
        <w:tblInd w:w="0" w:type="dxa"/>
        <w:tblLayout w:type="fixed"/>
        <w:tblCellMar>
          <w:top w:w="0" w:type="dxa"/>
          <w:left w:w="0" w:type="dxa"/>
          <w:bottom w:w="0" w:type="dxa"/>
          <w:right w:w="0" w:type="dxa"/>
        </w:tblCellMar>
      </w:tblPr>
      <w:tblGrid>
        <w:gridCol w:w="72"/>
        <w:gridCol w:w="1454"/>
        <w:gridCol w:w="5782"/>
        <w:gridCol w:w="260"/>
      </w:tblGrid>
      <w:tr>
        <w:trPr/>
        <w:tc>
          <w:tcPr>
            <w:tcW w:w="7308" w:type="dxa"/>
            <w:gridSpan w:val="3"/>
            <w:tcBorders/>
            <w:shd w:fill="CCEEFF" w:val="clear"/>
            <w:vAlign w:val="center"/>
          </w:tcPr>
          <w:p>
            <w:pPr>
              <w:pStyle w:val="TableContents"/>
              <w:bidi w:val="0"/>
              <w:spacing w:before="0" w:after="0"/>
              <w:jc w:val="left"/>
              <w:rPr/>
            </w:pPr>
            <w:r>
              <w:rPr/>
              <w:t>ARTICLE I DEFINITIONS AND INCORPORATION BY REFERENCE</w:t>
            </w:r>
          </w:p>
        </w:tc>
        <w:tc>
          <w:tcPr>
            <w:tcW w:w="260" w:type="dxa"/>
            <w:tcBorders/>
            <w:shd w:fill="CCEEFF" w:val="clear"/>
            <w:vAlign w:val="center"/>
          </w:tcPr>
          <w:p>
            <w:pPr>
              <w:pStyle w:val="TableContents"/>
              <w:bidi w:val="0"/>
              <w:spacing w:before="0" w:after="0"/>
              <w:jc w:val="right"/>
              <w:rPr/>
            </w:pPr>
            <w:r>
              <w:rPr/>
              <w:t>1</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 </w:t>
            </w:r>
          </w:p>
        </w:tc>
        <w:tc>
          <w:tcPr>
            <w:tcW w:w="57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1.1</w:t>
            </w:r>
          </w:p>
        </w:tc>
        <w:tc>
          <w:tcPr>
            <w:tcW w:w="5782" w:type="dxa"/>
            <w:tcBorders/>
            <w:shd w:fill="CCEEFF" w:val="clear"/>
            <w:vAlign w:val="center"/>
          </w:tcPr>
          <w:p>
            <w:pPr>
              <w:pStyle w:val="TableContents"/>
              <w:bidi w:val="0"/>
              <w:spacing w:before="0" w:after="0"/>
              <w:jc w:val="left"/>
              <w:rPr/>
            </w:pPr>
            <w:r>
              <w:rPr/>
              <w:t>Definitions</w:t>
            </w:r>
          </w:p>
        </w:tc>
        <w:tc>
          <w:tcPr>
            <w:tcW w:w="260" w:type="dxa"/>
            <w:tcBorders/>
            <w:shd w:fill="CCEEFF" w:val="clear"/>
            <w:vAlign w:val="center"/>
          </w:tcPr>
          <w:p>
            <w:pPr>
              <w:pStyle w:val="TableContents"/>
              <w:bidi w:val="0"/>
              <w:spacing w:before="0" w:after="0"/>
              <w:jc w:val="right"/>
              <w:rPr/>
            </w:pPr>
            <w:r>
              <w:rPr/>
              <w:t>1</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1.2</w:t>
            </w:r>
          </w:p>
        </w:tc>
        <w:tc>
          <w:tcPr>
            <w:tcW w:w="5782" w:type="dxa"/>
            <w:tcBorders/>
            <w:vAlign w:val="center"/>
          </w:tcPr>
          <w:p>
            <w:pPr>
              <w:pStyle w:val="TableContents"/>
              <w:bidi w:val="0"/>
              <w:spacing w:before="0" w:after="0"/>
              <w:jc w:val="left"/>
              <w:rPr/>
            </w:pPr>
            <w:r>
              <w:rPr/>
              <w:t>Other Definitions</w:t>
            </w:r>
          </w:p>
        </w:tc>
        <w:tc>
          <w:tcPr>
            <w:tcW w:w="260" w:type="dxa"/>
            <w:tcBorders/>
            <w:vAlign w:val="center"/>
          </w:tcPr>
          <w:p>
            <w:pPr>
              <w:pStyle w:val="TableContents"/>
              <w:bidi w:val="0"/>
              <w:spacing w:before="0" w:after="0"/>
              <w:jc w:val="right"/>
              <w:rPr/>
            </w:pPr>
            <w:r>
              <w:rPr/>
              <w:t>4</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1.3</w:t>
            </w:r>
          </w:p>
        </w:tc>
        <w:tc>
          <w:tcPr>
            <w:tcW w:w="5782" w:type="dxa"/>
            <w:tcBorders/>
            <w:shd w:fill="CCEEFF" w:val="clear"/>
            <w:vAlign w:val="center"/>
          </w:tcPr>
          <w:p>
            <w:pPr>
              <w:pStyle w:val="TableContents"/>
              <w:bidi w:val="0"/>
              <w:spacing w:before="0" w:after="0"/>
              <w:jc w:val="left"/>
              <w:rPr/>
            </w:pPr>
            <w:r>
              <w:rPr/>
              <w:t>Incorporation by Reference of Trust Indenture Act</w:t>
            </w:r>
          </w:p>
        </w:tc>
        <w:tc>
          <w:tcPr>
            <w:tcW w:w="260" w:type="dxa"/>
            <w:tcBorders/>
            <w:shd w:fill="CCEEFF" w:val="clear"/>
            <w:vAlign w:val="center"/>
          </w:tcPr>
          <w:p>
            <w:pPr>
              <w:pStyle w:val="TableContents"/>
              <w:bidi w:val="0"/>
              <w:spacing w:before="0" w:after="0"/>
              <w:jc w:val="right"/>
              <w:rPr/>
            </w:pPr>
            <w:r>
              <w:rPr/>
              <w:t>4</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1.4</w:t>
            </w:r>
          </w:p>
        </w:tc>
        <w:tc>
          <w:tcPr>
            <w:tcW w:w="5782" w:type="dxa"/>
            <w:tcBorders/>
            <w:vAlign w:val="center"/>
          </w:tcPr>
          <w:p>
            <w:pPr>
              <w:pStyle w:val="TableContents"/>
              <w:bidi w:val="0"/>
              <w:spacing w:before="0" w:after="0"/>
              <w:jc w:val="left"/>
              <w:rPr/>
            </w:pPr>
            <w:r>
              <w:rPr/>
              <w:t>Rules of Construction</w:t>
            </w:r>
          </w:p>
        </w:tc>
        <w:tc>
          <w:tcPr>
            <w:tcW w:w="260" w:type="dxa"/>
            <w:tcBorders/>
            <w:vAlign w:val="center"/>
          </w:tcPr>
          <w:p>
            <w:pPr>
              <w:pStyle w:val="TableContents"/>
              <w:bidi w:val="0"/>
              <w:spacing w:before="0" w:after="0"/>
              <w:jc w:val="right"/>
              <w:rPr/>
            </w:pPr>
            <w:r>
              <w:rPr/>
              <w:t>5</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left"/>
              <w:rPr/>
            </w:pPr>
            <w:r>
              <w:rPr/>
              <w:t> </w:t>
            </w:r>
          </w:p>
        </w:tc>
        <w:tc>
          <w:tcPr>
            <w:tcW w:w="5782"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7308" w:type="dxa"/>
            <w:gridSpan w:val="3"/>
            <w:tcBorders/>
            <w:vAlign w:val="center"/>
          </w:tcPr>
          <w:p>
            <w:pPr>
              <w:pStyle w:val="TableContents"/>
              <w:bidi w:val="0"/>
              <w:spacing w:before="0" w:after="0"/>
              <w:jc w:val="left"/>
              <w:rPr/>
            </w:pPr>
            <w:r>
              <w:rPr/>
              <w:t>ARTICLE II THE SECURITIES</w:t>
            </w:r>
          </w:p>
        </w:tc>
        <w:tc>
          <w:tcPr>
            <w:tcW w:w="260" w:type="dxa"/>
            <w:tcBorders/>
            <w:vAlign w:val="center"/>
          </w:tcPr>
          <w:p>
            <w:pPr>
              <w:pStyle w:val="TableContents"/>
              <w:bidi w:val="0"/>
              <w:spacing w:before="0" w:after="0"/>
              <w:jc w:val="right"/>
              <w:rPr/>
            </w:pPr>
            <w:r>
              <w:rPr/>
              <w:t>5</w:t>
            </w:r>
          </w:p>
        </w:tc>
      </w:tr>
      <w:tr>
        <w:trPr/>
        <w:tc>
          <w:tcPr>
            <w:tcW w:w="72" w:type="dxa"/>
            <w:tcBorders/>
            <w:shd w:fill="CCEEFF" w:val="clear"/>
            <w:vAlign w:val="center"/>
          </w:tcPr>
          <w:p>
            <w:pPr>
              <w:pStyle w:val="TableContents"/>
              <w:bidi w:val="0"/>
              <w:spacing w:before="0" w:after="283"/>
              <w:jc w:val="left"/>
              <w:rPr/>
            </w:pPr>
            <w:r>
              <w:rPr/>
              <w:t> </w:t>
            </w:r>
          </w:p>
        </w:tc>
        <w:tc>
          <w:tcPr>
            <w:tcW w:w="7236" w:type="dxa"/>
            <w:gridSpan w:val="2"/>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2.1</w:t>
            </w:r>
          </w:p>
        </w:tc>
        <w:tc>
          <w:tcPr>
            <w:tcW w:w="5782" w:type="dxa"/>
            <w:tcBorders/>
            <w:vAlign w:val="center"/>
          </w:tcPr>
          <w:p>
            <w:pPr>
              <w:pStyle w:val="TableContents"/>
              <w:bidi w:val="0"/>
              <w:spacing w:before="0" w:after="0"/>
              <w:jc w:val="left"/>
              <w:rPr/>
            </w:pPr>
            <w:r>
              <w:rPr/>
              <w:t>Issuable in Series</w:t>
            </w:r>
          </w:p>
        </w:tc>
        <w:tc>
          <w:tcPr>
            <w:tcW w:w="260" w:type="dxa"/>
            <w:tcBorders/>
            <w:vAlign w:val="center"/>
          </w:tcPr>
          <w:p>
            <w:pPr>
              <w:pStyle w:val="TableContents"/>
              <w:bidi w:val="0"/>
              <w:spacing w:before="0" w:after="0"/>
              <w:jc w:val="right"/>
              <w:rPr/>
            </w:pPr>
            <w:r>
              <w:rPr/>
              <w:t>5</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2.2</w:t>
            </w:r>
          </w:p>
        </w:tc>
        <w:tc>
          <w:tcPr>
            <w:tcW w:w="5782" w:type="dxa"/>
            <w:tcBorders/>
            <w:shd w:fill="CCEEFF" w:val="clear"/>
            <w:vAlign w:val="center"/>
          </w:tcPr>
          <w:p>
            <w:pPr>
              <w:pStyle w:val="TableContents"/>
              <w:bidi w:val="0"/>
              <w:spacing w:before="0" w:after="0"/>
              <w:jc w:val="left"/>
              <w:rPr/>
            </w:pPr>
            <w:r>
              <w:rPr/>
              <w:t>Establishment of Terms of Series of Securities</w:t>
            </w:r>
          </w:p>
        </w:tc>
        <w:tc>
          <w:tcPr>
            <w:tcW w:w="260" w:type="dxa"/>
            <w:tcBorders/>
            <w:shd w:fill="CCEEFF" w:val="clear"/>
            <w:vAlign w:val="center"/>
          </w:tcPr>
          <w:p>
            <w:pPr>
              <w:pStyle w:val="TableContents"/>
              <w:bidi w:val="0"/>
              <w:spacing w:before="0" w:after="0"/>
              <w:jc w:val="right"/>
              <w:rPr/>
            </w:pPr>
            <w:r>
              <w:rPr/>
              <w:t>5</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2.3</w:t>
            </w:r>
          </w:p>
        </w:tc>
        <w:tc>
          <w:tcPr>
            <w:tcW w:w="5782" w:type="dxa"/>
            <w:tcBorders/>
            <w:vAlign w:val="center"/>
          </w:tcPr>
          <w:p>
            <w:pPr>
              <w:pStyle w:val="TableContents"/>
              <w:bidi w:val="0"/>
              <w:spacing w:before="0" w:after="0"/>
              <w:jc w:val="left"/>
              <w:rPr/>
            </w:pPr>
            <w:r>
              <w:rPr/>
              <w:t>Execution and Authentication</w:t>
            </w:r>
          </w:p>
        </w:tc>
        <w:tc>
          <w:tcPr>
            <w:tcW w:w="260" w:type="dxa"/>
            <w:tcBorders/>
            <w:vAlign w:val="center"/>
          </w:tcPr>
          <w:p>
            <w:pPr>
              <w:pStyle w:val="TableContents"/>
              <w:bidi w:val="0"/>
              <w:spacing w:before="0" w:after="0"/>
              <w:jc w:val="right"/>
              <w:rPr/>
            </w:pPr>
            <w:r>
              <w:rPr/>
              <w:t>7</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2.4</w:t>
            </w:r>
          </w:p>
        </w:tc>
        <w:tc>
          <w:tcPr>
            <w:tcW w:w="5782" w:type="dxa"/>
            <w:tcBorders/>
            <w:shd w:fill="CCEEFF" w:val="clear"/>
            <w:vAlign w:val="center"/>
          </w:tcPr>
          <w:p>
            <w:pPr>
              <w:pStyle w:val="TableContents"/>
              <w:bidi w:val="0"/>
              <w:spacing w:before="0" w:after="0"/>
              <w:jc w:val="left"/>
              <w:rPr/>
            </w:pPr>
            <w:r>
              <w:rPr/>
              <w:t>Registrar and Paying Agent</w:t>
            </w:r>
          </w:p>
        </w:tc>
        <w:tc>
          <w:tcPr>
            <w:tcW w:w="260" w:type="dxa"/>
            <w:tcBorders/>
            <w:shd w:fill="CCEEFF" w:val="clear"/>
            <w:vAlign w:val="center"/>
          </w:tcPr>
          <w:p>
            <w:pPr>
              <w:pStyle w:val="TableContents"/>
              <w:bidi w:val="0"/>
              <w:spacing w:before="0" w:after="0"/>
              <w:jc w:val="right"/>
              <w:rPr/>
            </w:pPr>
            <w:r>
              <w:rPr/>
              <w:t>8</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2.5</w:t>
            </w:r>
          </w:p>
        </w:tc>
        <w:tc>
          <w:tcPr>
            <w:tcW w:w="5782" w:type="dxa"/>
            <w:tcBorders/>
            <w:vAlign w:val="center"/>
          </w:tcPr>
          <w:p>
            <w:pPr>
              <w:pStyle w:val="TableContents"/>
              <w:bidi w:val="0"/>
              <w:spacing w:before="0" w:after="0"/>
              <w:jc w:val="left"/>
              <w:rPr/>
            </w:pPr>
            <w:r>
              <w:rPr/>
              <w:t>Paying Agent to Hold Money in Trust</w:t>
            </w:r>
          </w:p>
        </w:tc>
        <w:tc>
          <w:tcPr>
            <w:tcW w:w="260" w:type="dxa"/>
            <w:tcBorders/>
            <w:vAlign w:val="center"/>
          </w:tcPr>
          <w:p>
            <w:pPr>
              <w:pStyle w:val="TableContents"/>
              <w:bidi w:val="0"/>
              <w:spacing w:before="0" w:after="0"/>
              <w:jc w:val="right"/>
              <w:rPr/>
            </w:pPr>
            <w:r>
              <w:rPr/>
              <w:t>9</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2.6</w:t>
            </w:r>
          </w:p>
        </w:tc>
        <w:tc>
          <w:tcPr>
            <w:tcW w:w="5782" w:type="dxa"/>
            <w:tcBorders/>
            <w:shd w:fill="CCEEFF" w:val="clear"/>
            <w:vAlign w:val="center"/>
          </w:tcPr>
          <w:p>
            <w:pPr>
              <w:pStyle w:val="TableContents"/>
              <w:bidi w:val="0"/>
              <w:spacing w:before="0" w:after="0"/>
              <w:jc w:val="left"/>
              <w:rPr/>
            </w:pPr>
            <w:r>
              <w:rPr/>
              <w:t>Securityholder Lists</w:t>
            </w:r>
          </w:p>
        </w:tc>
        <w:tc>
          <w:tcPr>
            <w:tcW w:w="260" w:type="dxa"/>
            <w:tcBorders/>
            <w:shd w:fill="CCEEFF" w:val="clear"/>
            <w:vAlign w:val="center"/>
          </w:tcPr>
          <w:p>
            <w:pPr>
              <w:pStyle w:val="TableContents"/>
              <w:bidi w:val="0"/>
              <w:spacing w:before="0" w:after="0"/>
              <w:jc w:val="right"/>
              <w:rPr/>
            </w:pPr>
            <w:r>
              <w:rPr/>
              <w:t>9</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2.7</w:t>
            </w:r>
          </w:p>
        </w:tc>
        <w:tc>
          <w:tcPr>
            <w:tcW w:w="5782" w:type="dxa"/>
            <w:tcBorders/>
            <w:vAlign w:val="center"/>
          </w:tcPr>
          <w:p>
            <w:pPr>
              <w:pStyle w:val="TableContents"/>
              <w:bidi w:val="0"/>
              <w:spacing w:before="0" w:after="0"/>
              <w:jc w:val="left"/>
              <w:rPr/>
            </w:pPr>
            <w:r>
              <w:rPr/>
              <w:t>Transfer and Exchange</w:t>
            </w:r>
          </w:p>
        </w:tc>
        <w:tc>
          <w:tcPr>
            <w:tcW w:w="260" w:type="dxa"/>
            <w:tcBorders/>
            <w:vAlign w:val="center"/>
          </w:tcPr>
          <w:p>
            <w:pPr>
              <w:pStyle w:val="TableContents"/>
              <w:bidi w:val="0"/>
              <w:spacing w:before="0" w:after="0"/>
              <w:jc w:val="right"/>
              <w:rPr/>
            </w:pPr>
            <w:r>
              <w:rPr/>
              <w:t>9</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2.8</w:t>
            </w:r>
          </w:p>
        </w:tc>
        <w:tc>
          <w:tcPr>
            <w:tcW w:w="5782" w:type="dxa"/>
            <w:tcBorders/>
            <w:shd w:fill="CCEEFF" w:val="clear"/>
            <w:vAlign w:val="center"/>
          </w:tcPr>
          <w:p>
            <w:pPr>
              <w:pStyle w:val="TableContents"/>
              <w:bidi w:val="0"/>
              <w:spacing w:before="0" w:after="0"/>
              <w:jc w:val="left"/>
              <w:rPr/>
            </w:pPr>
            <w:r>
              <w:rPr/>
              <w:t>Mutilated, Destroyed, Lost and Stolen Securities</w:t>
            </w:r>
          </w:p>
        </w:tc>
        <w:tc>
          <w:tcPr>
            <w:tcW w:w="260" w:type="dxa"/>
            <w:tcBorders/>
            <w:shd w:fill="CCEEFF" w:val="clear"/>
            <w:vAlign w:val="center"/>
          </w:tcPr>
          <w:p>
            <w:pPr>
              <w:pStyle w:val="TableContents"/>
              <w:bidi w:val="0"/>
              <w:spacing w:before="0" w:after="0"/>
              <w:jc w:val="right"/>
              <w:rPr/>
            </w:pPr>
            <w:r>
              <w:rPr/>
              <w:t>10</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2.9</w:t>
            </w:r>
          </w:p>
        </w:tc>
        <w:tc>
          <w:tcPr>
            <w:tcW w:w="5782" w:type="dxa"/>
            <w:tcBorders/>
            <w:vAlign w:val="center"/>
          </w:tcPr>
          <w:p>
            <w:pPr>
              <w:pStyle w:val="TableContents"/>
              <w:bidi w:val="0"/>
              <w:spacing w:before="0" w:after="0"/>
              <w:jc w:val="left"/>
              <w:rPr/>
            </w:pPr>
            <w:r>
              <w:rPr/>
              <w:t>Outstanding Securities</w:t>
            </w:r>
          </w:p>
        </w:tc>
        <w:tc>
          <w:tcPr>
            <w:tcW w:w="260" w:type="dxa"/>
            <w:tcBorders/>
            <w:vAlign w:val="center"/>
          </w:tcPr>
          <w:p>
            <w:pPr>
              <w:pStyle w:val="TableContents"/>
              <w:bidi w:val="0"/>
              <w:spacing w:before="0" w:after="0"/>
              <w:jc w:val="right"/>
              <w:rPr/>
            </w:pPr>
            <w:r>
              <w:rPr/>
              <w:t>10</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2.10</w:t>
            </w:r>
          </w:p>
        </w:tc>
        <w:tc>
          <w:tcPr>
            <w:tcW w:w="5782" w:type="dxa"/>
            <w:tcBorders/>
            <w:shd w:fill="CCEEFF" w:val="clear"/>
            <w:vAlign w:val="center"/>
          </w:tcPr>
          <w:p>
            <w:pPr>
              <w:pStyle w:val="TableContents"/>
              <w:bidi w:val="0"/>
              <w:spacing w:before="0" w:after="0"/>
              <w:jc w:val="left"/>
              <w:rPr/>
            </w:pPr>
            <w:r>
              <w:rPr/>
              <w:t>Treasury Securities</w:t>
            </w:r>
          </w:p>
        </w:tc>
        <w:tc>
          <w:tcPr>
            <w:tcW w:w="260" w:type="dxa"/>
            <w:tcBorders/>
            <w:shd w:fill="CCEEFF" w:val="clear"/>
            <w:vAlign w:val="center"/>
          </w:tcPr>
          <w:p>
            <w:pPr>
              <w:pStyle w:val="TableContents"/>
              <w:bidi w:val="0"/>
              <w:spacing w:before="0" w:after="0"/>
              <w:jc w:val="right"/>
              <w:rPr/>
            </w:pPr>
            <w:r>
              <w:rPr/>
              <w:t>11</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2.11</w:t>
            </w:r>
          </w:p>
        </w:tc>
        <w:tc>
          <w:tcPr>
            <w:tcW w:w="5782" w:type="dxa"/>
            <w:tcBorders/>
            <w:vAlign w:val="center"/>
          </w:tcPr>
          <w:p>
            <w:pPr>
              <w:pStyle w:val="TableContents"/>
              <w:bidi w:val="0"/>
              <w:spacing w:before="0" w:after="0"/>
              <w:jc w:val="left"/>
              <w:rPr/>
            </w:pPr>
            <w:r>
              <w:rPr/>
              <w:t>Temporary Securities</w:t>
            </w:r>
          </w:p>
        </w:tc>
        <w:tc>
          <w:tcPr>
            <w:tcW w:w="260" w:type="dxa"/>
            <w:tcBorders/>
            <w:vAlign w:val="center"/>
          </w:tcPr>
          <w:p>
            <w:pPr>
              <w:pStyle w:val="TableContents"/>
              <w:bidi w:val="0"/>
              <w:spacing w:before="0" w:after="0"/>
              <w:jc w:val="right"/>
              <w:rPr/>
            </w:pPr>
            <w:r>
              <w:rPr/>
              <w:t>11</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2.12</w:t>
            </w:r>
          </w:p>
        </w:tc>
        <w:tc>
          <w:tcPr>
            <w:tcW w:w="5782" w:type="dxa"/>
            <w:tcBorders/>
            <w:shd w:fill="CCEEFF" w:val="clear"/>
            <w:vAlign w:val="center"/>
          </w:tcPr>
          <w:p>
            <w:pPr>
              <w:pStyle w:val="TableContents"/>
              <w:bidi w:val="0"/>
              <w:spacing w:before="0" w:after="0"/>
              <w:jc w:val="left"/>
              <w:rPr/>
            </w:pPr>
            <w:r>
              <w:rPr/>
              <w:t>Cancellation</w:t>
            </w:r>
          </w:p>
        </w:tc>
        <w:tc>
          <w:tcPr>
            <w:tcW w:w="260" w:type="dxa"/>
            <w:tcBorders/>
            <w:shd w:fill="CCEEFF" w:val="clear"/>
            <w:vAlign w:val="center"/>
          </w:tcPr>
          <w:p>
            <w:pPr>
              <w:pStyle w:val="TableContents"/>
              <w:bidi w:val="0"/>
              <w:spacing w:before="0" w:after="283"/>
              <w:jc w:val="right"/>
              <w:rPr/>
            </w:pPr>
            <w:r>
              <w:rPr/>
              <w:t>11</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2.13</w:t>
            </w:r>
          </w:p>
        </w:tc>
        <w:tc>
          <w:tcPr>
            <w:tcW w:w="5782" w:type="dxa"/>
            <w:tcBorders/>
            <w:vAlign w:val="center"/>
          </w:tcPr>
          <w:p>
            <w:pPr>
              <w:pStyle w:val="TableContents"/>
              <w:bidi w:val="0"/>
              <w:spacing w:before="0" w:after="0"/>
              <w:jc w:val="left"/>
              <w:rPr/>
            </w:pPr>
            <w:r>
              <w:rPr/>
              <w:t>Defaulted Interest</w:t>
            </w:r>
          </w:p>
        </w:tc>
        <w:tc>
          <w:tcPr>
            <w:tcW w:w="260" w:type="dxa"/>
            <w:tcBorders/>
            <w:vAlign w:val="center"/>
          </w:tcPr>
          <w:p>
            <w:pPr>
              <w:pStyle w:val="TableContents"/>
              <w:bidi w:val="0"/>
              <w:spacing w:before="0" w:after="283"/>
              <w:jc w:val="right"/>
              <w:rPr/>
            </w:pPr>
            <w:r>
              <w:rPr/>
              <w:t>11</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2.14</w:t>
            </w:r>
          </w:p>
        </w:tc>
        <w:tc>
          <w:tcPr>
            <w:tcW w:w="5782" w:type="dxa"/>
            <w:tcBorders/>
            <w:shd w:fill="CCEEFF" w:val="clear"/>
            <w:vAlign w:val="center"/>
          </w:tcPr>
          <w:p>
            <w:pPr>
              <w:pStyle w:val="TableContents"/>
              <w:bidi w:val="0"/>
              <w:spacing w:before="0" w:after="0"/>
              <w:jc w:val="left"/>
              <w:rPr/>
            </w:pPr>
            <w:r>
              <w:rPr/>
              <w:t>Global Securities</w:t>
            </w:r>
          </w:p>
        </w:tc>
        <w:tc>
          <w:tcPr>
            <w:tcW w:w="260" w:type="dxa"/>
            <w:tcBorders/>
            <w:shd w:fill="CCEEFF" w:val="clear"/>
            <w:vAlign w:val="center"/>
          </w:tcPr>
          <w:p>
            <w:pPr>
              <w:pStyle w:val="TableContents"/>
              <w:bidi w:val="0"/>
              <w:spacing w:before="0" w:after="0"/>
              <w:jc w:val="right"/>
              <w:rPr/>
            </w:pPr>
            <w:r>
              <w:rPr/>
              <w:t>11</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2.15</w:t>
            </w:r>
          </w:p>
        </w:tc>
        <w:tc>
          <w:tcPr>
            <w:tcW w:w="5782" w:type="dxa"/>
            <w:tcBorders/>
            <w:vAlign w:val="center"/>
          </w:tcPr>
          <w:p>
            <w:pPr>
              <w:pStyle w:val="TableContents"/>
              <w:bidi w:val="0"/>
              <w:spacing w:before="0" w:after="0"/>
              <w:jc w:val="left"/>
              <w:rPr/>
            </w:pPr>
            <w:r>
              <w:rPr/>
              <w:t>CUSIP Numbers</w:t>
            </w:r>
          </w:p>
        </w:tc>
        <w:tc>
          <w:tcPr>
            <w:tcW w:w="260" w:type="dxa"/>
            <w:tcBorders/>
            <w:vAlign w:val="center"/>
          </w:tcPr>
          <w:p>
            <w:pPr>
              <w:pStyle w:val="TableContents"/>
              <w:bidi w:val="0"/>
              <w:spacing w:before="0" w:after="0"/>
              <w:jc w:val="right"/>
              <w:rPr/>
            </w:pPr>
            <w:r>
              <w:rPr/>
              <w:t>14</w:t>
            </w:r>
          </w:p>
        </w:tc>
      </w:tr>
      <w:tr>
        <w:trPr/>
        <w:tc>
          <w:tcPr>
            <w:tcW w:w="72" w:type="dxa"/>
            <w:tcBorders/>
            <w:shd w:fill="CCEEFF" w:val="clear"/>
            <w:vAlign w:val="center"/>
          </w:tcPr>
          <w:p>
            <w:pPr>
              <w:pStyle w:val="TableContents"/>
              <w:bidi w:val="0"/>
              <w:spacing w:before="0" w:after="283"/>
              <w:jc w:val="left"/>
              <w:rPr/>
            </w:pPr>
            <w:r>
              <w:rPr/>
              <w:t> </w:t>
            </w:r>
          </w:p>
        </w:tc>
        <w:tc>
          <w:tcPr>
            <w:tcW w:w="7236" w:type="dxa"/>
            <w:gridSpan w:val="2"/>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308" w:type="dxa"/>
            <w:gridSpan w:val="3"/>
            <w:tcBorders/>
            <w:vAlign w:val="center"/>
          </w:tcPr>
          <w:p>
            <w:pPr>
              <w:pStyle w:val="TableContents"/>
              <w:bidi w:val="0"/>
              <w:spacing w:before="0" w:after="0"/>
              <w:jc w:val="left"/>
              <w:rPr/>
            </w:pPr>
            <w:r>
              <w:rPr/>
              <w:t>ARTICLE III REDEMPTION</w:t>
            </w:r>
          </w:p>
        </w:tc>
        <w:tc>
          <w:tcPr>
            <w:tcW w:w="260" w:type="dxa"/>
            <w:tcBorders/>
            <w:vAlign w:val="center"/>
          </w:tcPr>
          <w:p>
            <w:pPr>
              <w:pStyle w:val="TableContents"/>
              <w:bidi w:val="0"/>
              <w:spacing w:before="0" w:after="0"/>
              <w:jc w:val="right"/>
              <w:rPr/>
            </w:pPr>
            <w:r>
              <w:rPr/>
              <w:t>14</w:t>
            </w:r>
          </w:p>
        </w:tc>
      </w:tr>
      <w:tr>
        <w:trPr/>
        <w:tc>
          <w:tcPr>
            <w:tcW w:w="72" w:type="dxa"/>
            <w:tcBorders/>
            <w:shd w:fill="CCEEFF" w:val="clear"/>
            <w:vAlign w:val="center"/>
          </w:tcPr>
          <w:p>
            <w:pPr>
              <w:pStyle w:val="TableContents"/>
              <w:bidi w:val="0"/>
              <w:spacing w:before="0" w:after="283"/>
              <w:jc w:val="left"/>
              <w:rPr/>
            </w:pPr>
            <w:r>
              <w:rPr/>
              <w:t> </w:t>
            </w:r>
          </w:p>
        </w:tc>
        <w:tc>
          <w:tcPr>
            <w:tcW w:w="7236" w:type="dxa"/>
            <w:gridSpan w:val="2"/>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3.1</w:t>
            </w:r>
          </w:p>
        </w:tc>
        <w:tc>
          <w:tcPr>
            <w:tcW w:w="5782" w:type="dxa"/>
            <w:tcBorders/>
            <w:vAlign w:val="center"/>
          </w:tcPr>
          <w:p>
            <w:pPr>
              <w:pStyle w:val="TableContents"/>
              <w:bidi w:val="0"/>
              <w:spacing w:before="0" w:after="0"/>
              <w:jc w:val="left"/>
              <w:rPr/>
            </w:pPr>
            <w:r>
              <w:rPr/>
              <w:t>Notice to Trustee</w:t>
            </w:r>
          </w:p>
        </w:tc>
        <w:tc>
          <w:tcPr>
            <w:tcW w:w="260" w:type="dxa"/>
            <w:tcBorders/>
            <w:vAlign w:val="center"/>
          </w:tcPr>
          <w:p>
            <w:pPr>
              <w:pStyle w:val="TableContents"/>
              <w:bidi w:val="0"/>
              <w:spacing w:before="0" w:after="0"/>
              <w:jc w:val="right"/>
              <w:rPr/>
            </w:pPr>
            <w:r>
              <w:rPr/>
              <w:t>14</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3.2</w:t>
            </w:r>
          </w:p>
        </w:tc>
        <w:tc>
          <w:tcPr>
            <w:tcW w:w="5782" w:type="dxa"/>
            <w:tcBorders/>
            <w:shd w:fill="CCEEFF" w:val="clear"/>
            <w:vAlign w:val="center"/>
          </w:tcPr>
          <w:p>
            <w:pPr>
              <w:pStyle w:val="TableContents"/>
              <w:bidi w:val="0"/>
              <w:spacing w:before="0" w:after="0"/>
              <w:jc w:val="left"/>
              <w:rPr/>
            </w:pPr>
            <w:r>
              <w:rPr/>
              <w:t>Selection of Securities to be Redeemed</w:t>
            </w:r>
          </w:p>
        </w:tc>
        <w:tc>
          <w:tcPr>
            <w:tcW w:w="260" w:type="dxa"/>
            <w:tcBorders/>
            <w:shd w:fill="CCEEFF" w:val="clear"/>
            <w:vAlign w:val="center"/>
          </w:tcPr>
          <w:p>
            <w:pPr>
              <w:pStyle w:val="TableContents"/>
              <w:bidi w:val="0"/>
              <w:spacing w:before="0" w:after="0"/>
              <w:jc w:val="right"/>
              <w:rPr/>
            </w:pPr>
            <w:r>
              <w:rPr/>
              <w:t>14</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3.3</w:t>
            </w:r>
          </w:p>
        </w:tc>
        <w:tc>
          <w:tcPr>
            <w:tcW w:w="5782" w:type="dxa"/>
            <w:tcBorders/>
            <w:vAlign w:val="center"/>
          </w:tcPr>
          <w:p>
            <w:pPr>
              <w:pStyle w:val="TableContents"/>
              <w:bidi w:val="0"/>
              <w:spacing w:before="0" w:after="0"/>
              <w:jc w:val="left"/>
              <w:rPr/>
            </w:pPr>
            <w:r>
              <w:rPr/>
              <w:t>Notice of Redemption</w:t>
            </w:r>
          </w:p>
        </w:tc>
        <w:tc>
          <w:tcPr>
            <w:tcW w:w="260" w:type="dxa"/>
            <w:tcBorders/>
            <w:vAlign w:val="center"/>
          </w:tcPr>
          <w:p>
            <w:pPr>
              <w:pStyle w:val="TableContents"/>
              <w:bidi w:val="0"/>
              <w:spacing w:before="0" w:after="0"/>
              <w:jc w:val="right"/>
              <w:rPr/>
            </w:pPr>
            <w:r>
              <w:rPr/>
              <w:t>14</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3.4</w:t>
            </w:r>
          </w:p>
        </w:tc>
        <w:tc>
          <w:tcPr>
            <w:tcW w:w="5782" w:type="dxa"/>
            <w:tcBorders/>
            <w:shd w:fill="CCEEFF" w:val="clear"/>
            <w:vAlign w:val="center"/>
          </w:tcPr>
          <w:p>
            <w:pPr>
              <w:pStyle w:val="TableContents"/>
              <w:bidi w:val="0"/>
              <w:spacing w:before="0" w:after="0"/>
              <w:jc w:val="left"/>
              <w:rPr/>
            </w:pPr>
            <w:r>
              <w:rPr/>
              <w:t>Effect of Notice of Redemption</w:t>
            </w:r>
          </w:p>
        </w:tc>
        <w:tc>
          <w:tcPr>
            <w:tcW w:w="260" w:type="dxa"/>
            <w:tcBorders/>
            <w:shd w:fill="CCEEFF" w:val="clear"/>
            <w:vAlign w:val="center"/>
          </w:tcPr>
          <w:p>
            <w:pPr>
              <w:pStyle w:val="TableContents"/>
              <w:bidi w:val="0"/>
              <w:spacing w:before="0" w:after="0"/>
              <w:jc w:val="right"/>
              <w:rPr/>
            </w:pPr>
            <w:r>
              <w:rPr/>
              <w:t>15</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3.5</w:t>
            </w:r>
          </w:p>
        </w:tc>
        <w:tc>
          <w:tcPr>
            <w:tcW w:w="5782" w:type="dxa"/>
            <w:tcBorders/>
            <w:vAlign w:val="center"/>
          </w:tcPr>
          <w:p>
            <w:pPr>
              <w:pStyle w:val="TableContents"/>
              <w:bidi w:val="0"/>
              <w:spacing w:before="0" w:after="0"/>
              <w:jc w:val="left"/>
              <w:rPr/>
            </w:pPr>
            <w:r>
              <w:rPr/>
              <w:t>Deposit of Redemption Price</w:t>
            </w:r>
          </w:p>
        </w:tc>
        <w:tc>
          <w:tcPr>
            <w:tcW w:w="260" w:type="dxa"/>
            <w:tcBorders/>
            <w:vAlign w:val="center"/>
          </w:tcPr>
          <w:p>
            <w:pPr>
              <w:pStyle w:val="TableContents"/>
              <w:bidi w:val="0"/>
              <w:spacing w:before="0" w:after="0"/>
              <w:jc w:val="right"/>
              <w:rPr/>
            </w:pPr>
            <w:r>
              <w:rPr/>
              <w:t>15</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3.6</w:t>
            </w:r>
          </w:p>
        </w:tc>
        <w:tc>
          <w:tcPr>
            <w:tcW w:w="5782" w:type="dxa"/>
            <w:tcBorders/>
            <w:shd w:fill="CCEEFF" w:val="clear"/>
            <w:vAlign w:val="center"/>
          </w:tcPr>
          <w:p>
            <w:pPr>
              <w:pStyle w:val="TableContents"/>
              <w:bidi w:val="0"/>
              <w:spacing w:before="0" w:after="0"/>
              <w:jc w:val="left"/>
              <w:rPr/>
            </w:pPr>
            <w:r>
              <w:rPr/>
              <w:t>Securities Redeemed in Part</w:t>
            </w:r>
          </w:p>
        </w:tc>
        <w:tc>
          <w:tcPr>
            <w:tcW w:w="260" w:type="dxa"/>
            <w:tcBorders/>
            <w:shd w:fill="CCEEFF" w:val="clear"/>
            <w:vAlign w:val="center"/>
          </w:tcPr>
          <w:p>
            <w:pPr>
              <w:pStyle w:val="TableContents"/>
              <w:bidi w:val="0"/>
              <w:spacing w:before="0" w:after="0"/>
              <w:jc w:val="right"/>
              <w:rPr/>
            </w:pPr>
            <w:r>
              <w:rPr/>
              <w:t>16</w:t>
            </w:r>
          </w:p>
        </w:tc>
      </w:tr>
      <w:tr>
        <w:trPr/>
        <w:tc>
          <w:tcPr>
            <w:tcW w:w="7308"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7308" w:type="dxa"/>
            <w:gridSpan w:val="3"/>
            <w:tcBorders/>
            <w:shd w:fill="CCEEFF" w:val="clear"/>
            <w:vAlign w:val="center"/>
          </w:tcPr>
          <w:p>
            <w:pPr>
              <w:pStyle w:val="TableContents"/>
              <w:bidi w:val="0"/>
              <w:spacing w:before="0" w:after="0"/>
              <w:jc w:val="left"/>
              <w:rPr/>
            </w:pPr>
            <w:r>
              <w:rPr/>
              <w:t>ARTICLE IV COVENANTS</w:t>
            </w:r>
          </w:p>
        </w:tc>
        <w:tc>
          <w:tcPr>
            <w:tcW w:w="260" w:type="dxa"/>
            <w:tcBorders/>
            <w:shd w:fill="CCEEFF" w:val="clear"/>
            <w:vAlign w:val="center"/>
          </w:tcPr>
          <w:p>
            <w:pPr>
              <w:pStyle w:val="TableContents"/>
              <w:bidi w:val="0"/>
              <w:spacing w:before="0" w:after="0"/>
              <w:jc w:val="right"/>
              <w:rPr/>
            </w:pPr>
            <w:r>
              <w:rPr/>
              <w:t>16</w:t>
            </w:r>
          </w:p>
        </w:tc>
      </w:tr>
      <w:tr>
        <w:trPr/>
        <w:tc>
          <w:tcPr>
            <w:tcW w:w="7308"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4.1</w:t>
            </w:r>
          </w:p>
        </w:tc>
        <w:tc>
          <w:tcPr>
            <w:tcW w:w="5782" w:type="dxa"/>
            <w:tcBorders/>
            <w:shd w:fill="CCEEFF" w:val="clear"/>
            <w:vAlign w:val="center"/>
          </w:tcPr>
          <w:p>
            <w:pPr>
              <w:pStyle w:val="TableContents"/>
              <w:bidi w:val="0"/>
              <w:spacing w:before="0" w:after="0"/>
              <w:jc w:val="left"/>
              <w:rPr/>
            </w:pPr>
            <w:r>
              <w:rPr/>
              <w:t>Payment of Principal and Interest</w:t>
            </w:r>
          </w:p>
        </w:tc>
        <w:tc>
          <w:tcPr>
            <w:tcW w:w="260" w:type="dxa"/>
            <w:tcBorders/>
            <w:shd w:fill="CCEEFF" w:val="clear"/>
            <w:vAlign w:val="center"/>
          </w:tcPr>
          <w:p>
            <w:pPr>
              <w:pStyle w:val="TableContents"/>
              <w:bidi w:val="0"/>
              <w:spacing w:before="0" w:after="0"/>
              <w:jc w:val="right"/>
              <w:rPr/>
            </w:pPr>
            <w:r>
              <w:rPr/>
              <w:t>16</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4.2</w:t>
            </w:r>
          </w:p>
        </w:tc>
        <w:tc>
          <w:tcPr>
            <w:tcW w:w="5782" w:type="dxa"/>
            <w:tcBorders/>
            <w:vAlign w:val="center"/>
          </w:tcPr>
          <w:p>
            <w:pPr>
              <w:pStyle w:val="TableContents"/>
              <w:bidi w:val="0"/>
              <w:spacing w:before="0" w:after="0"/>
              <w:jc w:val="left"/>
              <w:rPr/>
            </w:pPr>
            <w:r>
              <w:rPr/>
              <w:t>SEC Reports</w:t>
            </w:r>
          </w:p>
        </w:tc>
        <w:tc>
          <w:tcPr>
            <w:tcW w:w="260" w:type="dxa"/>
            <w:tcBorders/>
            <w:vAlign w:val="center"/>
          </w:tcPr>
          <w:p>
            <w:pPr>
              <w:pStyle w:val="TableContents"/>
              <w:bidi w:val="0"/>
              <w:spacing w:before="0" w:after="0"/>
              <w:jc w:val="right"/>
              <w:rPr/>
            </w:pPr>
            <w:r>
              <w:rPr/>
              <w:t>16</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4.3</w:t>
            </w:r>
          </w:p>
        </w:tc>
        <w:tc>
          <w:tcPr>
            <w:tcW w:w="5782" w:type="dxa"/>
            <w:tcBorders/>
            <w:shd w:fill="CCEEFF" w:val="clear"/>
            <w:vAlign w:val="center"/>
          </w:tcPr>
          <w:p>
            <w:pPr>
              <w:pStyle w:val="TableContents"/>
              <w:bidi w:val="0"/>
              <w:spacing w:before="0" w:after="0"/>
              <w:jc w:val="left"/>
              <w:rPr/>
            </w:pPr>
            <w:r>
              <w:rPr/>
              <w:t>Compliance Certificate</w:t>
            </w:r>
          </w:p>
        </w:tc>
        <w:tc>
          <w:tcPr>
            <w:tcW w:w="260" w:type="dxa"/>
            <w:tcBorders/>
            <w:shd w:fill="CCEEFF" w:val="clear"/>
            <w:vAlign w:val="center"/>
          </w:tcPr>
          <w:p>
            <w:pPr>
              <w:pStyle w:val="TableContents"/>
              <w:bidi w:val="0"/>
              <w:spacing w:before="0" w:after="0"/>
              <w:jc w:val="right"/>
              <w:rPr/>
            </w:pPr>
            <w:r>
              <w:rPr/>
              <w:t>16</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4.4</w:t>
            </w:r>
          </w:p>
        </w:tc>
        <w:tc>
          <w:tcPr>
            <w:tcW w:w="5782" w:type="dxa"/>
            <w:tcBorders/>
            <w:vAlign w:val="center"/>
          </w:tcPr>
          <w:p>
            <w:pPr>
              <w:pStyle w:val="TableContents"/>
              <w:bidi w:val="0"/>
              <w:spacing w:before="0" w:after="0"/>
              <w:jc w:val="left"/>
              <w:rPr/>
            </w:pPr>
            <w:r>
              <w:rPr/>
              <w:t>Stay, Extension and Usury Laws</w:t>
            </w:r>
          </w:p>
        </w:tc>
        <w:tc>
          <w:tcPr>
            <w:tcW w:w="260" w:type="dxa"/>
            <w:tcBorders/>
            <w:vAlign w:val="center"/>
          </w:tcPr>
          <w:p>
            <w:pPr>
              <w:pStyle w:val="TableContents"/>
              <w:bidi w:val="0"/>
              <w:spacing w:before="0" w:after="0"/>
              <w:jc w:val="right"/>
              <w:rPr/>
            </w:pPr>
            <w:r>
              <w:rPr/>
              <w:t>17</w:t>
            </w:r>
          </w:p>
        </w:tc>
      </w:tr>
      <w:tr>
        <w:trPr/>
        <w:tc>
          <w:tcPr>
            <w:tcW w:w="7308"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308" w:type="dxa"/>
            <w:gridSpan w:val="3"/>
            <w:tcBorders/>
            <w:vAlign w:val="center"/>
          </w:tcPr>
          <w:p>
            <w:pPr>
              <w:pStyle w:val="TableContents"/>
              <w:bidi w:val="0"/>
              <w:spacing w:before="0" w:after="0"/>
              <w:jc w:val="left"/>
              <w:rPr/>
            </w:pPr>
            <w:r>
              <w:rPr/>
              <w:t>ARTICLE V SUCCESSORS</w:t>
            </w:r>
          </w:p>
        </w:tc>
        <w:tc>
          <w:tcPr>
            <w:tcW w:w="260" w:type="dxa"/>
            <w:tcBorders/>
            <w:vAlign w:val="center"/>
          </w:tcPr>
          <w:p>
            <w:pPr>
              <w:pStyle w:val="TableContents"/>
              <w:bidi w:val="0"/>
              <w:spacing w:before="0" w:after="0"/>
              <w:jc w:val="right"/>
              <w:rPr/>
            </w:pPr>
            <w:r>
              <w:rPr/>
              <w:t>17</w:t>
            </w:r>
          </w:p>
        </w:tc>
      </w:tr>
      <w:tr>
        <w:trPr/>
        <w:tc>
          <w:tcPr>
            <w:tcW w:w="7308"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2"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0"/>
              <w:jc w:val="left"/>
              <w:rPr/>
            </w:pPr>
            <w:r>
              <w:rPr/>
              <w:t>Section 5.1</w:t>
            </w:r>
          </w:p>
        </w:tc>
        <w:tc>
          <w:tcPr>
            <w:tcW w:w="5782" w:type="dxa"/>
            <w:tcBorders/>
            <w:vAlign w:val="center"/>
          </w:tcPr>
          <w:p>
            <w:pPr>
              <w:pStyle w:val="TableContents"/>
              <w:bidi w:val="0"/>
              <w:spacing w:before="0" w:after="0"/>
              <w:jc w:val="left"/>
              <w:rPr/>
            </w:pPr>
            <w:r>
              <w:rPr/>
              <w:t>When Company May Merge, Etc</w:t>
            </w:r>
          </w:p>
        </w:tc>
        <w:tc>
          <w:tcPr>
            <w:tcW w:w="260" w:type="dxa"/>
            <w:tcBorders/>
            <w:vAlign w:val="center"/>
          </w:tcPr>
          <w:p>
            <w:pPr>
              <w:pStyle w:val="TableContents"/>
              <w:bidi w:val="0"/>
              <w:spacing w:before="0" w:after="0"/>
              <w:jc w:val="right"/>
              <w:rPr/>
            </w:pPr>
            <w:r>
              <w:rPr/>
              <w:t>17</w:t>
            </w:r>
          </w:p>
        </w:tc>
      </w:tr>
      <w:tr>
        <w:trPr/>
        <w:tc>
          <w:tcPr>
            <w:tcW w:w="72"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0"/>
              <w:jc w:val="left"/>
              <w:rPr/>
            </w:pPr>
            <w:r>
              <w:rPr/>
              <w:t>Section 5.2</w:t>
            </w:r>
          </w:p>
        </w:tc>
        <w:tc>
          <w:tcPr>
            <w:tcW w:w="5782" w:type="dxa"/>
            <w:tcBorders/>
            <w:shd w:fill="CCEEFF" w:val="clear"/>
            <w:vAlign w:val="center"/>
          </w:tcPr>
          <w:p>
            <w:pPr>
              <w:pStyle w:val="TableContents"/>
              <w:bidi w:val="0"/>
              <w:spacing w:before="0" w:after="0"/>
              <w:jc w:val="left"/>
              <w:rPr/>
            </w:pPr>
            <w:r>
              <w:rPr/>
              <w:t>Successor Corporation Substituted</w:t>
            </w:r>
          </w:p>
        </w:tc>
        <w:tc>
          <w:tcPr>
            <w:tcW w:w="260" w:type="dxa"/>
            <w:tcBorders/>
            <w:shd w:fill="CCEEFF" w:val="clear"/>
            <w:vAlign w:val="center"/>
          </w:tcPr>
          <w:p>
            <w:pPr>
              <w:pStyle w:val="TableContents"/>
              <w:bidi w:val="0"/>
              <w:spacing w:before="0" w:after="0"/>
              <w:jc w:val="right"/>
              <w:rPr/>
            </w:pPr>
            <w:r>
              <w:rPr/>
              <w:t>17</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(Continued)</w:t>
      </w:r>
    </w:p>
    <w:p>
      <w:pPr>
        <w:pStyle w:val="TextBody"/>
        <w:bidi w:val="0"/>
        <w:spacing w:before="0" w:after="0"/>
        <w:jc w:val="center"/>
        <w:rPr/>
      </w:pPr>
      <w:r>
        <w:rPr/>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Page</w:t>
      </w:r>
    </w:p>
    <w:p>
      <w:pPr>
        <w:pStyle w:val="TextBody"/>
        <w:bidi w:val="0"/>
        <w:spacing w:before="0" w:after="0"/>
        <w:jc w:val="left"/>
        <w:rPr/>
      </w:pPr>
      <w:r>
        <w:rPr/>
      </w:r>
    </w:p>
    <w:tbl>
      <w:tblPr>
        <w:tblW w:w="7665" w:type="dxa"/>
        <w:jc w:val="left"/>
        <w:tblInd w:w="0" w:type="dxa"/>
        <w:tblLayout w:type="fixed"/>
        <w:tblCellMar>
          <w:top w:w="0" w:type="dxa"/>
          <w:left w:w="0" w:type="dxa"/>
          <w:bottom w:w="0" w:type="dxa"/>
          <w:right w:w="0" w:type="dxa"/>
        </w:tblCellMar>
      </w:tblPr>
      <w:tblGrid>
        <w:gridCol w:w="60"/>
        <w:gridCol w:w="1205"/>
        <w:gridCol w:w="6140"/>
        <w:gridCol w:w="260"/>
      </w:tblGrid>
      <w:tr>
        <w:trPr/>
        <w:tc>
          <w:tcPr>
            <w:tcW w:w="7405" w:type="dxa"/>
            <w:gridSpan w:val="3"/>
            <w:tcBorders/>
            <w:shd w:fill="CCEEFF" w:val="clear"/>
            <w:vAlign w:val="center"/>
          </w:tcPr>
          <w:p>
            <w:pPr>
              <w:pStyle w:val="TableContents"/>
              <w:bidi w:val="0"/>
              <w:spacing w:before="0" w:after="0"/>
              <w:jc w:val="left"/>
              <w:rPr/>
            </w:pPr>
            <w:r>
              <w:rPr/>
              <w:t>ARTICLE VI DEFAULTS AND REMEDIES</w:t>
            </w:r>
          </w:p>
        </w:tc>
        <w:tc>
          <w:tcPr>
            <w:tcW w:w="260" w:type="dxa"/>
            <w:tcBorders/>
            <w:shd w:fill="CCEEFF" w:val="clear"/>
            <w:vAlign w:val="center"/>
          </w:tcPr>
          <w:p>
            <w:pPr>
              <w:pStyle w:val="TableContents"/>
              <w:bidi w:val="0"/>
              <w:spacing w:before="0" w:after="0"/>
              <w:jc w:val="right"/>
              <w:rPr/>
            </w:pPr>
            <w:r>
              <w:rPr/>
              <w:t>18</w:t>
            </w:r>
          </w:p>
        </w:tc>
      </w:tr>
      <w:tr>
        <w:trPr/>
        <w:tc>
          <w:tcPr>
            <w:tcW w:w="7405"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6.1</w:t>
            </w:r>
          </w:p>
        </w:tc>
        <w:tc>
          <w:tcPr>
            <w:tcW w:w="6140" w:type="dxa"/>
            <w:tcBorders/>
            <w:shd w:fill="CCEEFF" w:val="clear"/>
            <w:vAlign w:val="center"/>
          </w:tcPr>
          <w:p>
            <w:pPr>
              <w:pStyle w:val="TableContents"/>
              <w:bidi w:val="0"/>
              <w:spacing w:before="0" w:after="0"/>
              <w:jc w:val="left"/>
              <w:rPr/>
            </w:pPr>
            <w:r>
              <w:rPr/>
              <w:t>Events of Default</w:t>
            </w:r>
          </w:p>
        </w:tc>
        <w:tc>
          <w:tcPr>
            <w:tcW w:w="260" w:type="dxa"/>
            <w:tcBorders/>
            <w:shd w:fill="CCEEFF" w:val="clear"/>
            <w:vAlign w:val="center"/>
          </w:tcPr>
          <w:p>
            <w:pPr>
              <w:pStyle w:val="TableContents"/>
              <w:bidi w:val="0"/>
              <w:spacing w:before="0" w:after="0"/>
              <w:jc w:val="right"/>
              <w:rPr/>
            </w:pPr>
            <w:r>
              <w:rPr/>
              <w:t>18</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6.2</w:t>
            </w:r>
          </w:p>
        </w:tc>
        <w:tc>
          <w:tcPr>
            <w:tcW w:w="6140" w:type="dxa"/>
            <w:tcBorders/>
            <w:vAlign w:val="center"/>
          </w:tcPr>
          <w:p>
            <w:pPr>
              <w:pStyle w:val="TableContents"/>
              <w:bidi w:val="0"/>
              <w:spacing w:before="0" w:after="0"/>
              <w:jc w:val="left"/>
              <w:rPr/>
            </w:pPr>
            <w:r>
              <w:rPr/>
              <w:t>Acceleration of Maturity; Rescission and Annulment</w:t>
            </w:r>
          </w:p>
        </w:tc>
        <w:tc>
          <w:tcPr>
            <w:tcW w:w="260" w:type="dxa"/>
            <w:tcBorders/>
            <w:vAlign w:val="center"/>
          </w:tcPr>
          <w:p>
            <w:pPr>
              <w:pStyle w:val="TableContents"/>
              <w:bidi w:val="0"/>
              <w:spacing w:before="0" w:after="0"/>
              <w:jc w:val="right"/>
              <w:rPr/>
            </w:pPr>
            <w:r>
              <w:rPr/>
              <w:t>19</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6.3</w:t>
            </w:r>
          </w:p>
        </w:tc>
        <w:tc>
          <w:tcPr>
            <w:tcW w:w="6140" w:type="dxa"/>
            <w:tcBorders/>
            <w:shd w:fill="CCEEFF" w:val="clear"/>
            <w:vAlign w:val="center"/>
          </w:tcPr>
          <w:p>
            <w:pPr>
              <w:pStyle w:val="TableContents"/>
              <w:bidi w:val="0"/>
              <w:spacing w:before="0" w:after="0"/>
              <w:jc w:val="left"/>
              <w:rPr/>
            </w:pPr>
            <w:r>
              <w:rPr/>
              <w:t>Collection of Indebtedness and Suits for Enforcement by Trustee</w:t>
            </w:r>
          </w:p>
        </w:tc>
        <w:tc>
          <w:tcPr>
            <w:tcW w:w="260" w:type="dxa"/>
            <w:tcBorders/>
            <w:shd w:fill="CCEEFF" w:val="clear"/>
            <w:vAlign w:val="center"/>
          </w:tcPr>
          <w:p>
            <w:pPr>
              <w:pStyle w:val="TableContents"/>
              <w:bidi w:val="0"/>
              <w:spacing w:before="0" w:after="0"/>
              <w:jc w:val="right"/>
              <w:rPr/>
            </w:pPr>
            <w:r>
              <w:rPr/>
              <w:t>19</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6.4</w:t>
            </w:r>
          </w:p>
        </w:tc>
        <w:tc>
          <w:tcPr>
            <w:tcW w:w="6140" w:type="dxa"/>
            <w:tcBorders/>
            <w:vAlign w:val="center"/>
          </w:tcPr>
          <w:p>
            <w:pPr>
              <w:pStyle w:val="TableContents"/>
              <w:bidi w:val="0"/>
              <w:spacing w:before="0" w:after="0"/>
              <w:jc w:val="left"/>
              <w:rPr/>
            </w:pPr>
            <w:r>
              <w:rPr/>
              <w:t>Trustee May File Proofs of Claim</w:t>
            </w:r>
          </w:p>
        </w:tc>
        <w:tc>
          <w:tcPr>
            <w:tcW w:w="260" w:type="dxa"/>
            <w:tcBorders/>
            <w:vAlign w:val="center"/>
          </w:tcPr>
          <w:p>
            <w:pPr>
              <w:pStyle w:val="TableContents"/>
              <w:bidi w:val="0"/>
              <w:spacing w:before="0" w:after="0"/>
              <w:jc w:val="right"/>
              <w:rPr/>
            </w:pPr>
            <w:r>
              <w:rPr/>
              <w:t>20</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6.5</w:t>
            </w:r>
          </w:p>
        </w:tc>
        <w:tc>
          <w:tcPr>
            <w:tcW w:w="6140" w:type="dxa"/>
            <w:tcBorders/>
            <w:shd w:fill="CCEEFF" w:val="clear"/>
            <w:vAlign w:val="center"/>
          </w:tcPr>
          <w:p>
            <w:pPr>
              <w:pStyle w:val="TableContents"/>
              <w:bidi w:val="0"/>
              <w:spacing w:before="0" w:after="0"/>
              <w:jc w:val="left"/>
              <w:rPr/>
            </w:pPr>
            <w:r>
              <w:rPr/>
              <w:t>Trustee May Enforce Claims Without Possession of Securities</w:t>
            </w:r>
          </w:p>
        </w:tc>
        <w:tc>
          <w:tcPr>
            <w:tcW w:w="260" w:type="dxa"/>
            <w:tcBorders/>
            <w:shd w:fill="CCEEFF" w:val="clear"/>
            <w:vAlign w:val="center"/>
          </w:tcPr>
          <w:p>
            <w:pPr>
              <w:pStyle w:val="TableContents"/>
              <w:bidi w:val="0"/>
              <w:spacing w:before="0" w:after="0"/>
              <w:jc w:val="right"/>
              <w:rPr/>
            </w:pPr>
            <w:r>
              <w:rPr/>
              <w:t>21</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6.6</w:t>
            </w:r>
          </w:p>
        </w:tc>
        <w:tc>
          <w:tcPr>
            <w:tcW w:w="6140" w:type="dxa"/>
            <w:tcBorders/>
            <w:vAlign w:val="center"/>
          </w:tcPr>
          <w:p>
            <w:pPr>
              <w:pStyle w:val="TableContents"/>
              <w:bidi w:val="0"/>
              <w:spacing w:before="0" w:after="0"/>
              <w:jc w:val="left"/>
              <w:rPr/>
            </w:pPr>
            <w:r>
              <w:rPr/>
              <w:t>Application of Money Collected</w:t>
            </w:r>
          </w:p>
        </w:tc>
        <w:tc>
          <w:tcPr>
            <w:tcW w:w="260" w:type="dxa"/>
            <w:tcBorders/>
            <w:vAlign w:val="center"/>
          </w:tcPr>
          <w:p>
            <w:pPr>
              <w:pStyle w:val="TableContents"/>
              <w:bidi w:val="0"/>
              <w:spacing w:before="0" w:after="0"/>
              <w:jc w:val="right"/>
              <w:rPr/>
            </w:pPr>
            <w:r>
              <w:rPr/>
              <w:t>21</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6.7</w:t>
            </w:r>
          </w:p>
        </w:tc>
        <w:tc>
          <w:tcPr>
            <w:tcW w:w="6140" w:type="dxa"/>
            <w:tcBorders/>
            <w:shd w:fill="CCEEFF" w:val="clear"/>
            <w:vAlign w:val="center"/>
          </w:tcPr>
          <w:p>
            <w:pPr>
              <w:pStyle w:val="TableContents"/>
              <w:bidi w:val="0"/>
              <w:spacing w:before="0" w:after="0"/>
              <w:jc w:val="left"/>
              <w:rPr/>
            </w:pPr>
            <w:r>
              <w:rPr/>
              <w:t>Limitation on Suits</w:t>
            </w:r>
          </w:p>
        </w:tc>
        <w:tc>
          <w:tcPr>
            <w:tcW w:w="260" w:type="dxa"/>
            <w:tcBorders/>
            <w:shd w:fill="CCEEFF" w:val="clear"/>
            <w:vAlign w:val="center"/>
          </w:tcPr>
          <w:p>
            <w:pPr>
              <w:pStyle w:val="TableContents"/>
              <w:bidi w:val="0"/>
              <w:spacing w:before="0" w:after="0"/>
              <w:jc w:val="right"/>
              <w:rPr/>
            </w:pPr>
            <w:r>
              <w:rPr/>
              <w:t>21</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6.8</w:t>
            </w:r>
          </w:p>
        </w:tc>
        <w:tc>
          <w:tcPr>
            <w:tcW w:w="6140" w:type="dxa"/>
            <w:tcBorders/>
            <w:vAlign w:val="center"/>
          </w:tcPr>
          <w:p>
            <w:pPr>
              <w:pStyle w:val="TableContents"/>
              <w:bidi w:val="0"/>
              <w:spacing w:before="0" w:after="0"/>
              <w:jc w:val="left"/>
              <w:rPr/>
            </w:pPr>
            <w:r>
              <w:rPr/>
              <w:t>Unconditional Right of Holders to Receive Principal and Interest</w:t>
            </w:r>
          </w:p>
        </w:tc>
        <w:tc>
          <w:tcPr>
            <w:tcW w:w="260" w:type="dxa"/>
            <w:tcBorders/>
            <w:vAlign w:val="center"/>
          </w:tcPr>
          <w:p>
            <w:pPr>
              <w:pStyle w:val="TableContents"/>
              <w:bidi w:val="0"/>
              <w:spacing w:before="0" w:after="0"/>
              <w:jc w:val="right"/>
              <w:rPr/>
            </w:pPr>
            <w:r>
              <w:rPr/>
              <w:t>22</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6.9</w:t>
            </w:r>
          </w:p>
        </w:tc>
        <w:tc>
          <w:tcPr>
            <w:tcW w:w="6140" w:type="dxa"/>
            <w:tcBorders/>
            <w:shd w:fill="CCEEFF" w:val="clear"/>
            <w:vAlign w:val="center"/>
          </w:tcPr>
          <w:p>
            <w:pPr>
              <w:pStyle w:val="TableContents"/>
              <w:bidi w:val="0"/>
              <w:spacing w:before="0" w:after="0"/>
              <w:jc w:val="left"/>
              <w:rPr/>
            </w:pPr>
            <w:r>
              <w:rPr/>
              <w:t>Restoration of Rights and Remedies</w:t>
            </w:r>
          </w:p>
        </w:tc>
        <w:tc>
          <w:tcPr>
            <w:tcW w:w="260" w:type="dxa"/>
            <w:tcBorders/>
            <w:shd w:fill="CCEEFF" w:val="clear"/>
            <w:vAlign w:val="center"/>
          </w:tcPr>
          <w:p>
            <w:pPr>
              <w:pStyle w:val="TableContents"/>
              <w:bidi w:val="0"/>
              <w:spacing w:before="0" w:after="0"/>
              <w:jc w:val="right"/>
              <w:rPr/>
            </w:pPr>
            <w:r>
              <w:rPr/>
              <w:t>22</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6.10</w:t>
            </w:r>
          </w:p>
        </w:tc>
        <w:tc>
          <w:tcPr>
            <w:tcW w:w="6140" w:type="dxa"/>
            <w:tcBorders/>
            <w:vAlign w:val="center"/>
          </w:tcPr>
          <w:p>
            <w:pPr>
              <w:pStyle w:val="TableContents"/>
              <w:bidi w:val="0"/>
              <w:spacing w:before="0" w:after="0"/>
              <w:jc w:val="left"/>
              <w:rPr/>
            </w:pPr>
            <w:r>
              <w:rPr/>
              <w:t>Rights and Remedies Cumulative</w:t>
            </w:r>
          </w:p>
        </w:tc>
        <w:tc>
          <w:tcPr>
            <w:tcW w:w="260" w:type="dxa"/>
            <w:tcBorders/>
            <w:vAlign w:val="center"/>
          </w:tcPr>
          <w:p>
            <w:pPr>
              <w:pStyle w:val="TableContents"/>
              <w:bidi w:val="0"/>
              <w:spacing w:before="0" w:after="0"/>
              <w:jc w:val="right"/>
              <w:rPr/>
            </w:pPr>
            <w:r>
              <w:rPr/>
              <w:t>22</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6.11</w:t>
            </w:r>
          </w:p>
        </w:tc>
        <w:tc>
          <w:tcPr>
            <w:tcW w:w="6140" w:type="dxa"/>
            <w:tcBorders/>
            <w:shd w:fill="CCEEFF" w:val="clear"/>
            <w:vAlign w:val="center"/>
          </w:tcPr>
          <w:p>
            <w:pPr>
              <w:pStyle w:val="TableContents"/>
              <w:bidi w:val="0"/>
              <w:spacing w:before="0" w:after="0"/>
              <w:jc w:val="left"/>
              <w:rPr/>
            </w:pPr>
            <w:r>
              <w:rPr/>
              <w:t>Delay or Omission Not Waiver</w:t>
            </w:r>
          </w:p>
        </w:tc>
        <w:tc>
          <w:tcPr>
            <w:tcW w:w="260" w:type="dxa"/>
            <w:tcBorders/>
            <w:shd w:fill="CCEEFF" w:val="clear"/>
            <w:vAlign w:val="center"/>
          </w:tcPr>
          <w:p>
            <w:pPr>
              <w:pStyle w:val="TableContents"/>
              <w:bidi w:val="0"/>
              <w:spacing w:before="0" w:after="0"/>
              <w:jc w:val="right"/>
              <w:rPr/>
            </w:pPr>
            <w:r>
              <w:rPr/>
              <w:t>22</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6.12</w:t>
            </w:r>
          </w:p>
        </w:tc>
        <w:tc>
          <w:tcPr>
            <w:tcW w:w="6140" w:type="dxa"/>
            <w:tcBorders/>
            <w:vAlign w:val="center"/>
          </w:tcPr>
          <w:p>
            <w:pPr>
              <w:pStyle w:val="TableContents"/>
              <w:bidi w:val="0"/>
              <w:spacing w:before="0" w:after="0"/>
              <w:jc w:val="left"/>
              <w:rPr/>
            </w:pPr>
            <w:r>
              <w:rPr/>
              <w:t>Control by Holders</w:t>
            </w:r>
          </w:p>
        </w:tc>
        <w:tc>
          <w:tcPr>
            <w:tcW w:w="260" w:type="dxa"/>
            <w:tcBorders/>
            <w:vAlign w:val="center"/>
          </w:tcPr>
          <w:p>
            <w:pPr>
              <w:pStyle w:val="TableContents"/>
              <w:bidi w:val="0"/>
              <w:spacing w:before="0" w:after="0"/>
              <w:jc w:val="right"/>
              <w:rPr/>
            </w:pPr>
            <w:r>
              <w:rPr/>
              <w:t>22</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6.13</w:t>
            </w:r>
          </w:p>
        </w:tc>
        <w:tc>
          <w:tcPr>
            <w:tcW w:w="6140" w:type="dxa"/>
            <w:tcBorders/>
            <w:shd w:fill="CCEEFF" w:val="clear"/>
            <w:vAlign w:val="center"/>
          </w:tcPr>
          <w:p>
            <w:pPr>
              <w:pStyle w:val="TableContents"/>
              <w:bidi w:val="0"/>
              <w:spacing w:before="0" w:after="0"/>
              <w:jc w:val="left"/>
              <w:rPr/>
            </w:pPr>
            <w:r>
              <w:rPr/>
              <w:t>Waiver of Past Defaults</w:t>
            </w:r>
          </w:p>
        </w:tc>
        <w:tc>
          <w:tcPr>
            <w:tcW w:w="260" w:type="dxa"/>
            <w:tcBorders/>
            <w:shd w:fill="CCEEFF" w:val="clear"/>
            <w:vAlign w:val="center"/>
          </w:tcPr>
          <w:p>
            <w:pPr>
              <w:pStyle w:val="TableContents"/>
              <w:bidi w:val="0"/>
              <w:spacing w:before="0" w:after="0"/>
              <w:jc w:val="right"/>
              <w:rPr/>
            </w:pPr>
            <w:r>
              <w:rPr/>
              <w:t>23</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6.14</w:t>
            </w:r>
          </w:p>
        </w:tc>
        <w:tc>
          <w:tcPr>
            <w:tcW w:w="6140" w:type="dxa"/>
            <w:tcBorders/>
            <w:vAlign w:val="center"/>
          </w:tcPr>
          <w:p>
            <w:pPr>
              <w:pStyle w:val="TableContents"/>
              <w:bidi w:val="0"/>
              <w:spacing w:before="0" w:after="0"/>
              <w:jc w:val="left"/>
              <w:rPr/>
            </w:pPr>
            <w:r>
              <w:rPr/>
              <w:t>Undertaking for Costs</w:t>
            </w:r>
          </w:p>
        </w:tc>
        <w:tc>
          <w:tcPr>
            <w:tcW w:w="260" w:type="dxa"/>
            <w:tcBorders/>
            <w:vAlign w:val="center"/>
          </w:tcPr>
          <w:p>
            <w:pPr>
              <w:pStyle w:val="TableContents"/>
              <w:bidi w:val="0"/>
              <w:spacing w:before="0" w:after="0"/>
              <w:jc w:val="right"/>
              <w:rPr/>
            </w:pPr>
            <w:r>
              <w:rPr/>
              <w:t>23</w:t>
            </w:r>
          </w:p>
        </w:tc>
      </w:tr>
      <w:tr>
        <w:trPr/>
        <w:tc>
          <w:tcPr>
            <w:tcW w:w="7405"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405" w:type="dxa"/>
            <w:gridSpan w:val="3"/>
            <w:tcBorders/>
            <w:vAlign w:val="center"/>
          </w:tcPr>
          <w:p>
            <w:pPr>
              <w:pStyle w:val="TableContents"/>
              <w:bidi w:val="0"/>
              <w:spacing w:before="0" w:after="0"/>
              <w:jc w:val="left"/>
              <w:rPr/>
            </w:pPr>
            <w:r>
              <w:rPr/>
              <w:t>ARTICLE VII TRUSTEE</w:t>
            </w:r>
          </w:p>
        </w:tc>
        <w:tc>
          <w:tcPr>
            <w:tcW w:w="260" w:type="dxa"/>
            <w:tcBorders/>
            <w:vAlign w:val="center"/>
          </w:tcPr>
          <w:p>
            <w:pPr>
              <w:pStyle w:val="TableContents"/>
              <w:bidi w:val="0"/>
              <w:spacing w:before="0" w:after="0"/>
              <w:jc w:val="right"/>
              <w:rPr/>
            </w:pPr>
            <w:r>
              <w:rPr/>
              <w:t>23</w:t>
            </w:r>
          </w:p>
        </w:tc>
      </w:tr>
      <w:tr>
        <w:trPr/>
        <w:tc>
          <w:tcPr>
            <w:tcW w:w="7405"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7.1</w:t>
            </w:r>
          </w:p>
        </w:tc>
        <w:tc>
          <w:tcPr>
            <w:tcW w:w="6140" w:type="dxa"/>
            <w:tcBorders/>
            <w:vAlign w:val="center"/>
          </w:tcPr>
          <w:p>
            <w:pPr>
              <w:pStyle w:val="TableContents"/>
              <w:bidi w:val="0"/>
              <w:spacing w:before="0" w:after="0"/>
              <w:jc w:val="left"/>
              <w:rPr/>
            </w:pPr>
            <w:r>
              <w:rPr/>
              <w:t>Duties of Trustee</w:t>
            </w:r>
          </w:p>
        </w:tc>
        <w:tc>
          <w:tcPr>
            <w:tcW w:w="260" w:type="dxa"/>
            <w:tcBorders/>
            <w:vAlign w:val="center"/>
          </w:tcPr>
          <w:p>
            <w:pPr>
              <w:pStyle w:val="TableContents"/>
              <w:bidi w:val="0"/>
              <w:spacing w:before="0" w:after="0"/>
              <w:jc w:val="right"/>
              <w:rPr/>
            </w:pPr>
            <w:r>
              <w:rPr/>
              <w:t>23</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7.2</w:t>
            </w:r>
          </w:p>
        </w:tc>
        <w:tc>
          <w:tcPr>
            <w:tcW w:w="6140" w:type="dxa"/>
            <w:tcBorders/>
            <w:shd w:fill="CCEEFF" w:val="clear"/>
            <w:vAlign w:val="center"/>
          </w:tcPr>
          <w:p>
            <w:pPr>
              <w:pStyle w:val="TableContents"/>
              <w:bidi w:val="0"/>
              <w:spacing w:before="0" w:after="0"/>
              <w:jc w:val="left"/>
              <w:rPr/>
            </w:pPr>
            <w:r>
              <w:rPr/>
              <w:t>Rights of Trustee</w:t>
            </w:r>
          </w:p>
        </w:tc>
        <w:tc>
          <w:tcPr>
            <w:tcW w:w="260" w:type="dxa"/>
            <w:tcBorders/>
            <w:shd w:fill="CCEEFF" w:val="clear"/>
            <w:vAlign w:val="center"/>
          </w:tcPr>
          <w:p>
            <w:pPr>
              <w:pStyle w:val="TableContents"/>
              <w:bidi w:val="0"/>
              <w:spacing w:before="0" w:after="0"/>
              <w:jc w:val="right"/>
              <w:rPr/>
            </w:pPr>
            <w:r>
              <w:rPr/>
              <w:t>25</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7.3</w:t>
            </w:r>
          </w:p>
        </w:tc>
        <w:tc>
          <w:tcPr>
            <w:tcW w:w="6140" w:type="dxa"/>
            <w:tcBorders/>
            <w:vAlign w:val="center"/>
          </w:tcPr>
          <w:p>
            <w:pPr>
              <w:pStyle w:val="TableContents"/>
              <w:bidi w:val="0"/>
              <w:spacing w:before="0" w:after="0"/>
              <w:jc w:val="left"/>
              <w:rPr/>
            </w:pPr>
            <w:r>
              <w:rPr/>
              <w:t>Individual Rights of Trustee</w:t>
            </w:r>
          </w:p>
        </w:tc>
        <w:tc>
          <w:tcPr>
            <w:tcW w:w="260" w:type="dxa"/>
            <w:tcBorders/>
            <w:vAlign w:val="center"/>
          </w:tcPr>
          <w:p>
            <w:pPr>
              <w:pStyle w:val="TableContents"/>
              <w:bidi w:val="0"/>
              <w:spacing w:before="0" w:after="0"/>
              <w:jc w:val="right"/>
              <w:rPr/>
            </w:pPr>
            <w:r>
              <w:rPr/>
              <w:t>26</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7.4</w:t>
            </w:r>
          </w:p>
        </w:tc>
        <w:tc>
          <w:tcPr>
            <w:tcW w:w="6140" w:type="dxa"/>
            <w:tcBorders/>
            <w:shd w:fill="CCEEFF" w:val="clear"/>
            <w:vAlign w:val="center"/>
          </w:tcPr>
          <w:p>
            <w:pPr>
              <w:pStyle w:val="TableContents"/>
              <w:bidi w:val="0"/>
              <w:spacing w:before="0" w:after="0"/>
              <w:jc w:val="left"/>
              <w:rPr/>
            </w:pPr>
            <w:r>
              <w:rPr/>
              <w:t>Trustee’s Disclaimer</w:t>
            </w:r>
          </w:p>
        </w:tc>
        <w:tc>
          <w:tcPr>
            <w:tcW w:w="260" w:type="dxa"/>
            <w:tcBorders/>
            <w:shd w:fill="CCEEFF" w:val="clear"/>
            <w:vAlign w:val="center"/>
          </w:tcPr>
          <w:p>
            <w:pPr>
              <w:pStyle w:val="TableContents"/>
              <w:bidi w:val="0"/>
              <w:spacing w:before="0" w:after="0"/>
              <w:jc w:val="right"/>
              <w:rPr/>
            </w:pPr>
            <w:r>
              <w:rPr/>
              <w:t>26</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7.5</w:t>
            </w:r>
          </w:p>
        </w:tc>
        <w:tc>
          <w:tcPr>
            <w:tcW w:w="6140" w:type="dxa"/>
            <w:tcBorders/>
            <w:vAlign w:val="center"/>
          </w:tcPr>
          <w:p>
            <w:pPr>
              <w:pStyle w:val="TableContents"/>
              <w:bidi w:val="0"/>
              <w:spacing w:before="0" w:after="0"/>
              <w:jc w:val="left"/>
              <w:rPr/>
            </w:pPr>
            <w:r>
              <w:rPr/>
              <w:t>Notice of Defaults</w:t>
            </w:r>
          </w:p>
        </w:tc>
        <w:tc>
          <w:tcPr>
            <w:tcW w:w="260" w:type="dxa"/>
            <w:tcBorders/>
            <w:vAlign w:val="center"/>
          </w:tcPr>
          <w:p>
            <w:pPr>
              <w:pStyle w:val="TableContents"/>
              <w:bidi w:val="0"/>
              <w:spacing w:before="0" w:after="0"/>
              <w:jc w:val="right"/>
              <w:rPr/>
            </w:pPr>
            <w:r>
              <w:rPr/>
              <w:t>26</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7.6</w:t>
            </w:r>
          </w:p>
        </w:tc>
        <w:tc>
          <w:tcPr>
            <w:tcW w:w="6140" w:type="dxa"/>
            <w:tcBorders/>
            <w:shd w:fill="CCEEFF" w:val="clear"/>
            <w:vAlign w:val="center"/>
          </w:tcPr>
          <w:p>
            <w:pPr>
              <w:pStyle w:val="TableContents"/>
              <w:bidi w:val="0"/>
              <w:spacing w:before="0" w:after="0"/>
              <w:jc w:val="left"/>
              <w:rPr/>
            </w:pPr>
            <w:r>
              <w:rPr/>
              <w:t>Reports by Trustee to Holders</w:t>
            </w:r>
          </w:p>
        </w:tc>
        <w:tc>
          <w:tcPr>
            <w:tcW w:w="260" w:type="dxa"/>
            <w:tcBorders/>
            <w:shd w:fill="CCEEFF" w:val="clear"/>
            <w:vAlign w:val="center"/>
          </w:tcPr>
          <w:p>
            <w:pPr>
              <w:pStyle w:val="TableContents"/>
              <w:bidi w:val="0"/>
              <w:spacing w:before="0" w:after="0"/>
              <w:jc w:val="right"/>
              <w:rPr/>
            </w:pPr>
            <w:r>
              <w:rPr/>
              <w:t>27</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7.7</w:t>
            </w:r>
          </w:p>
        </w:tc>
        <w:tc>
          <w:tcPr>
            <w:tcW w:w="6140" w:type="dxa"/>
            <w:tcBorders/>
            <w:vAlign w:val="center"/>
          </w:tcPr>
          <w:p>
            <w:pPr>
              <w:pStyle w:val="TableContents"/>
              <w:bidi w:val="0"/>
              <w:spacing w:before="0" w:after="0"/>
              <w:jc w:val="left"/>
              <w:rPr/>
            </w:pPr>
            <w:r>
              <w:rPr/>
              <w:t>Compensation and Indemnity</w:t>
            </w:r>
          </w:p>
        </w:tc>
        <w:tc>
          <w:tcPr>
            <w:tcW w:w="260" w:type="dxa"/>
            <w:tcBorders/>
            <w:vAlign w:val="center"/>
          </w:tcPr>
          <w:p>
            <w:pPr>
              <w:pStyle w:val="TableContents"/>
              <w:bidi w:val="0"/>
              <w:spacing w:before="0" w:after="0"/>
              <w:jc w:val="right"/>
              <w:rPr/>
            </w:pPr>
            <w:r>
              <w:rPr/>
              <w:t>27</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7.8</w:t>
            </w:r>
          </w:p>
        </w:tc>
        <w:tc>
          <w:tcPr>
            <w:tcW w:w="6140" w:type="dxa"/>
            <w:tcBorders/>
            <w:shd w:fill="CCEEFF" w:val="clear"/>
            <w:vAlign w:val="center"/>
          </w:tcPr>
          <w:p>
            <w:pPr>
              <w:pStyle w:val="TableContents"/>
              <w:bidi w:val="0"/>
              <w:spacing w:before="0" w:after="0"/>
              <w:jc w:val="left"/>
              <w:rPr/>
            </w:pPr>
            <w:r>
              <w:rPr/>
              <w:t>Replacement of Trustee</w:t>
            </w:r>
          </w:p>
        </w:tc>
        <w:tc>
          <w:tcPr>
            <w:tcW w:w="260" w:type="dxa"/>
            <w:tcBorders/>
            <w:shd w:fill="CCEEFF" w:val="clear"/>
            <w:vAlign w:val="center"/>
          </w:tcPr>
          <w:p>
            <w:pPr>
              <w:pStyle w:val="TableContents"/>
              <w:bidi w:val="0"/>
              <w:spacing w:before="0" w:after="0"/>
              <w:jc w:val="right"/>
              <w:rPr/>
            </w:pPr>
            <w:r>
              <w:rPr/>
              <w:t>28</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7.9</w:t>
            </w:r>
          </w:p>
        </w:tc>
        <w:tc>
          <w:tcPr>
            <w:tcW w:w="6140" w:type="dxa"/>
            <w:tcBorders/>
            <w:vAlign w:val="center"/>
          </w:tcPr>
          <w:p>
            <w:pPr>
              <w:pStyle w:val="TableContents"/>
              <w:bidi w:val="0"/>
              <w:spacing w:before="0" w:after="0"/>
              <w:jc w:val="left"/>
              <w:rPr/>
            </w:pPr>
            <w:r>
              <w:rPr/>
              <w:t>Successor Trustee by Merger, Etc</w:t>
            </w:r>
          </w:p>
        </w:tc>
        <w:tc>
          <w:tcPr>
            <w:tcW w:w="260" w:type="dxa"/>
            <w:tcBorders/>
            <w:vAlign w:val="center"/>
          </w:tcPr>
          <w:p>
            <w:pPr>
              <w:pStyle w:val="TableContents"/>
              <w:bidi w:val="0"/>
              <w:spacing w:before="0" w:after="0"/>
              <w:jc w:val="right"/>
              <w:rPr/>
            </w:pPr>
            <w:r>
              <w:rPr/>
              <w:t>28</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7.10</w:t>
            </w:r>
          </w:p>
        </w:tc>
        <w:tc>
          <w:tcPr>
            <w:tcW w:w="6140" w:type="dxa"/>
            <w:tcBorders/>
            <w:shd w:fill="CCEEFF" w:val="clear"/>
            <w:vAlign w:val="center"/>
          </w:tcPr>
          <w:p>
            <w:pPr>
              <w:pStyle w:val="TableContents"/>
              <w:bidi w:val="0"/>
              <w:spacing w:before="0" w:after="0"/>
              <w:jc w:val="left"/>
              <w:rPr/>
            </w:pPr>
            <w:r>
              <w:rPr/>
              <w:t>Eligibility; Disqualification</w:t>
            </w:r>
          </w:p>
        </w:tc>
        <w:tc>
          <w:tcPr>
            <w:tcW w:w="260" w:type="dxa"/>
            <w:tcBorders/>
            <w:shd w:fill="CCEEFF" w:val="clear"/>
            <w:vAlign w:val="center"/>
          </w:tcPr>
          <w:p>
            <w:pPr>
              <w:pStyle w:val="TableContents"/>
              <w:bidi w:val="0"/>
              <w:spacing w:before="0" w:after="0"/>
              <w:jc w:val="right"/>
              <w:rPr/>
            </w:pPr>
            <w:r>
              <w:rPr/>
              <w:t>29</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7.11</w:t>
            </w:r>
          </w:p>
        </w:tc>
        <w:tc>
          <w:tcPr>
            <w:tcW w:w="6140" w:type="dxa"/>
            <w:tcBorders/>
            <w:vAlign w:val="center"/>
          </w:tcPr>
          <w:p>
            <w:pPr>
              <w:pStyle w:val="TableContents"/>
              <w:bidi w:val="0"/>
              <w:spacing w:before="0" w:after="0"/>
              <w:jc w:val="left"/>
              <w:rPr/>
            </w:pPr>
            <w:r>
              <w:rPr/>
              <w:t>Preferential Collection of Claims Against Company</w:t>
            </w:r>
          </w:p>
        </w:tc>
        <w:tc>
          <w:tcPr>
            <w:tcW w:w="260" w:type="dxa"/>
            <w:tcBorders/>
            <w:vAlign w:val="center"/>
          </w:tcPr>
          <w:p>
            <w:pPr>
              <w:pStyle w:val="TableContents"/>
              <w:bidi w:val="0"/>
              <w:spacing w:before="0" w:after="0"/>
              <w:jc w:val="right"/>
              <w:rPr/>
            </w:pPr>
            <w:r>
              <w:rPr/>
              <w:t>29</w:t>
            </w:r>
          </w:p>
        </w:tc>
      </w:tr>
      <w:tr>
        <w:trPr/>
        <w:tc>
          <w:tcPr>
            <w:tcW w:w="7405"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405" w:type="dxa"/>
            <w:gridSpan w:val="3"/>
            <w:tcBorders/>
            <w:vAlign w:val="center"/>
          </w:tcPr>
          <w:p>
            <w:pPr>
              <w:pStyle w:val="TableContents"/>
              <w:bidi w:val="0"/>
              <w:spacing w:before="0" w:after="0"/>
              <w:jc w:val="left"/>
              <w:rPr/>
            </w:pPr>
            <w:r>
              <w:rPr/>
              <w:t>ARTICLE VIII SATISFACTION AND DISCHARGE; DEFEASANCE</w:t>
            </w:r>
          </w:p>
        </w:tc>
        <w:tc>
          <w:tcPr>
            <w:tcW w:w="260" w:type="dxa"/>
            <w:tcBorders/>
            <w:vAlign w:val="center"/>
          </w:tcPr>
          <w:p>
            <w:pPr>
              <w:pStyle w:val="TableContents"/>
              <w:bidi w:val="0"/>
              <w:spacing w:before="0" w:after="0"/>
              <w:jc w:val="right"/>
              <w:rPr/>
            </w:pPr>
            <w:r>
              <w:rPr/>
              <w:t>29</w:t>
            </w:r>
          </w:p>
        </w:tc>
      </w:tr>
      <w:tr>
        <w:trPr/>
        <w:tc>
          <w:tcPr>
            <w:tcW w:w="7405"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8.1</w:t>
            </w:r>
          </w:p>
        </w:tc>
        <w:tc>
          <w:tcPr>
            <w:tcW w:w="6140" w:type="dxa"/>
            <w:tcBorders/>
            <w:vAlign w:val="center"/>
          </w:tcPr>
          <w:p>
            <w:pPr>
              <w:pStyle w:val="TableContents"/>
              <w:bidi w:val="0"/>
              <w:spacing w:before="0" w:after="0"/>
              <w:jc w:val="left"/>
              <w:rPr/>
            </w:pPr>
            <w:r>
              <w:rPr/>
              <w:t>Satisfaction and Discharge of Indenture</w:t>
            </w:r>
          </w:p>
        </w:tc>
        <w:tc>
          <w:tcPr>
            <w:tcW w:w="260" w:type="dxa"/>
            <w:tcBorders/>
            <w:vAlign w:val="center"/>
          </w:tcPr>
          <w:p>
            <w:pPr>
              <w:pStyle w:val="TableContents"/>
              <w:bidi w:val="0"/>
              <w:spacing w:before="0" w:after="0"/>
              <w:jc w:val="right"/>
              <w:rPr/>
            </w:pPr>
            <w:r>
              <w:rPr/>
              <w:t>29</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8.2</w:t>
            </w:r>
          </w:p>
        </w:tc>
        <w:tc>
          <w:tcPr>
            <w:tcW w:w="6140" w:type="dxa"/>
            <w:tcBorders/>
            <w:shd w:fill="CCEEFF" w:val="clear"/>
            <w:vAlign w:val="center"/>
          </w:tcPr>
          <w:p>
            <w:pPr>
              <w:pStyle w:val="TableContents"/>
              <w:bidi w:val="0"/>
              <w:spacing w:before="0" w:after="0"/>
              <w:jc w:val="left"/>
              <w:rPr/>
            </w:pPr>
            <w:r>
              <w:rPr/>
              <w:t>Application of Trust Funds; Indemnification</w:t>
            </w:r>
          </w:p>
        </w:tc>
        <w:tc>
          <w:tcPr>
            <w:tcW w:w="260" w:type="dxa"/>
            <w:tcBorders/>
            <w:shd w:fill="CCEEFF" w:val="clear"/>
            <w:vAlign w:val="center"/>
          </w:tcPr>
          <w:p>
            <w:pPr>
              <w:pStyle w:val="TableContents"/>
              <w:bidi w:val="0"/>
              <w:spacing w:before="0" w:after="0"/>
              <w:jc w:val="right"/>
              <w:rPr/>
            </w:pPr>
            <w:r>
              <w:rPr/>
              <w:t>30</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8.3</w:t>
            </w:r>
          </w:p>
        </w:tc>
        <w:tc>
          <w:tcPr>
            <w:tcW w:w="6140" w:type="dxa"/>
            <w:tcBorders/>
            <w:vAlign w:val="center"/>
          </w:tcPr>
          <w:p>
            <w:pPr>
              <w:pStyle w:val="TableContents"/>
              <w:bidi w:val="0"/>
              <w:spacing w:before="0" w:after="0"/>
              <w:jc w:val="left"/>
              <w:rPr/>
            </w:pPr>
            <w:r>
              <w:rPr/>
              <w:t>Legal Defeasance of Securities of any Series</w:t>
            </w:r>
          </w:p>
        </w:tc>
        <w:tc>
          <w:tcPr>
            <w:tcW w:w="260" w:type="dxa"/>
            <w:tcBorders/>
            <w:vAlign w:val="center"/>
          </w:tcPr>
          <w:p>
            <w:pPr>
              <w:pStyle w:val="TableContents"/>
              <w:bidi w:val="0"/>
              <w:spacing w:before="0" w:after="0"/>
              <w:jc w:val="right"/>
              <w:rPr/>
            </w:pPr>
            <w:r>
              <w:rPr/>
              <w:t>30</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8.4</w:t>
            </w:r>
          </w:p>
        </w:tc>
        <w:tc>
          <w:tcPr>
            <w:tcW w:w="6140" w:type="dxa"/>
            <w:tcBorders/>
            <w:shd w:fill="CCEEFF" w:val="clear"/>
            <w:vAlign w:val="center"/>
          </w:tcPr>
          <w:p>
            <w:pPr>
              <w:pStyle w:val="TableContents"/>
              <w:bidi w:val="0"/>
              <w:spacing w:before="0" w:after="0"/>
              <w:jc w:val="left"/>
              <w:rPr/>
            </w:pPr>
            <w:r>
              <w:rPr/>
              <w:t>Covenant Defeasance</w:t>
            </w:r>
          </w:p>
        </w:tc>
        <w:tc>
          <w:tcPr>
            <w:tcW w:w="260" w:type="dxa"/>
            <w:tcBorders/>
            <w:shd w:fill="CCEEFF" w:val="clear"/>
            <w:vAlign w:val="center"/>
          </w:tcPr>
          <w:p>
            <w:pPr>
              <w:pStyle w:val="TableContents"/>
              <w:bidi w:val="0"/>
              <w:spacing w:before="0" w:after="0"/>
              <w:jc w:val="right"/>
              <w:rPr/>
            </w:pPr>
            <w:r>
              <w:rPr/>
              <w:t>32</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8.5</w:t>
            </w:r>
          </w:p>
        </w:tc>
        <w:tc>
          <w:tcPr>
            <w:tcW w:w="6140" w:type="dxa"/>
            <w:tcBorders/>
            <w:vAlign w:val="center"/>
          </w:tcPr>
          <w:p>
            <w:pPr>
              <w:pStyle w:val="TableContents"/>
              <w:bidi w:val="0"/>
              <w:spacing w:before="0" w:after="0"/>
              <w:jc w:val="left"/>
              <w:rPr/>
            </w:pPr>
            <w:r>
              <w:rPr/>
              <w:t>Repayment to Company</w:t>
            </w:r>
          </w:p>
        </w:tc>
        <w:tc>
          <w:tcPr>
            <w:tcW w:w="260" w:type="dxa"/>
            <w:tcBorders/>
            <w:vAlign w:val="center"/>
          </w:tcPr>
          <w:p>
            <w:pPr>
              <w:pStyle w:val="TableContents"/>
              <w:bidi w:val="0"/>
              <w:spacing w:before="0" w:after="0"/>
              <w:jc w:val="right"/>
              <w:rPr/>
            </w:pPr>
            <w:r>
              <w:rPr/>
              <w:t>33</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8.6</w:t>
            </w:r>
          </w:p>
        </w:tc>
        <w:tc>
          <w:tcPr>
            <w:tcW w:w="6140" w:type="dxa"/>
            <w:tcBorders/>
            <w:shd w:fill="CCEEFF" w:val="clear"/>
            <w:vAlign w:val="center"/>
          </w:tcPr>
          <w:p>
            <w:pPr>
              <w:pStyle w:val="TableContents"/>
              <w:bidi w:val="0"/>
              <w:spacing w:before="0" w:after="0"/>
              <w:jc w:val="left"/>
              <w:rPr/>
            </w:pPr>
            <w:r>
              <w:rPr/>
              <w:t>Reinstatement</w:t>
            </w:r>
          </w:p>
        </w:tc>
        <w:tc>
          <w:tcPr>
            <w:tcW w:w="260" w:type="dxa"/>
            <w:tcBorders/>
            <w:shd w:fill="CCEEFF" w:val="clear"/>
            <w:vAlign w:val="center"/>
          </w:tcPr>
          <w:p>
            <w:pPr>
              <w:pStyle w:val="TableContents"/>
              <w:bidi w:val="0"/>
              <w:spacing w:before="0" w:after="0"/>
              <w:jc w:val="right"/>
              <w:rPr/>
            </w:pPr>
            <w:r>
              <w:rPr/>
              <w:t>33</w:t>
            </w:r>
          </w:p>
        </w:tc>
      </w:tr>
      <w:tr>
        <w:trPr/>
        <w:tc>
          <w:tcPr>
            <w:tcW w:w="7405"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7405" w:type="dxa"/>
            <w:gridSpan w:val="3"/>
            <w:tcBorders/>
            <w:shd w:fill="CCEEFF" w:val="clear"/>
            <w:vAlign w:val="center"/>
          </w:tcPr>
          <w:p>
            <w:pPr>
              <w:pStyle w:val="TableContents"/>
              <w:bidi w:val="0"/>
              <w:spacing w:before="0" w:after="0"/>
              <w:jc w:val="left"/>
              <w:rPr/>
            </w:pPr>
            <w:r>
              <w:rPr/>
              <w:t>ARTICLE IX AMENDMENTS AND WAIVERS</w:t>
            </w:r>
          </w:p>
        </w:tc>
        <w:tc>
          <w:tcPr>
            <w:tcW w:w="260" w:type="dxa"/>
            <w:tcBorders/>
            <w:shd w:fill="CCEEFF" w:val="clear"/>
            <w:vAlign w:val="center"/>
          </w:tcPr>
          <w:p>
            <w:pPr>
              <w:pStyle w:val="TableContents"/>
              <w:bidi w:val="0"/>
              <w:spacing w:before="0" w:after="0"/>
              <w:jc w:val="right"/>
              <w:rPr/>
            </w:pPr>
            <w:r>
              <w:rPr/>
              <w:t>33</w:t>
            </w:r>
          </w:p>
        </w:tc>
      </w:tr>
      <w:tr>
        <w:trPr/>
        <w:tc>
          <w:tcPr>
            <w:tcW w:w="7405"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9.1</w:t>
            </w:r>
          </w:p>
        </w:tc>
        <w:tc>
          <w:tcPr>
            <w:tcW w:w="6140" w:type="dxa"/>
            <w:tcBorders/>
            <w:shd w:fill="CCEEFF" w:val="clear"/>
            <w:vAlign w:val="center"/>
          </w:tcPr>
          <w:p>
            <w:pPr>
              <w:pStyle w:val="TableContents"/>
              <w:bidi w:val="0"/>
              <w:spacing w:before="0" w:after="0"/>
              <w:jc w:val="left"/>
              <w:rPr/>
            </w:pPr>
            <w:r>
              <w:rPr/>
              <w:t>Without Consent of Holders</w:t>
            </w:r>
          </w:p>
        </w:tc>
        <w:tc>
          <w:tcPr>
            <w:tcW w:w="260" w:type="dxa"/>
            <w:tcBorders/>
            <w:shd w:fill="CCEEFF" w:val="clear"/>
            <w:vAlign w:val="center"/>
          </w:tcPr>
          <w:p>
            <w:pPr>
              <w:pStyle w:val="TableContents"/>
              <w:bidi w:val="0"/>
              <w:spacing w:before="0" w:after="0"/>
              <w:jc w:val="right"/>
              <w:rPr/>
            </w:pPr>
            <w:r>
              <w:rPr/>
              <w:t>33</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9.2</w:t>
            </w:r>
          </w:p>
        </w:tc>
        <w:tc>
          <w:tcPr>
            <w:tcW w:w="6140" w:type="dxa"/>
            <w:tcBorders/>
            <w:vAlign w:val="center"/>
          </w:tcPr>
          <w:p>
            <w:pPr>
              <w:pStyle w:val="TableContents"/>
              <w:bidi w:val="0"/>
              <w:spacing w:before="0" w:after="0"/>
              <w:jc w:val="left"/>
              <w:rPr/>
            </w:pPr>
            <w:r>
              <w:rPr/>
              <w:t>With Consent of Holders</w:t>
            </w:r>
          </w:p>
        </w:tc>
        <w:tc>
          <w:tcPr>
            <w:tcW w:w="260" w:type="dxa"/>
            <w:tcBorders/>
            <w:vAlign w:val="center"/>
          </w:tcPr>
          <w:p>
            <w:pPr>
              <w:pStyle w:val="TableContents"/>
              <w:bidi w:val="0"/>
              <w:spacing w:before="0" w:after="0"/>
              <w:jc w:val="right"/>
              <w:rPr/>
            </w:pPr>
            <w:r>
              <w:rPr/>
              <w:t>34</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9.3</w:t>
            </w:r>
          </w:p>
        </w:tc>
        <w:tc>
          <w:tcPr>
            <w:tcW w:w="6140" w:type="dxa"/>
            <w:tcBorders/>
            <w:shd w:fill="CCEEFF" w:val="clear"/>
            <w:vAlign w:val="center"/>
          </w:tcPr>
          <w:p>
            <w:pPr>
              <w:pStyle w:val="TableContents"/>
              <w:bidi w:val="0"/>
              <w:spacing w:before="0" w:after="0"/>
              <w:jc w:val="left"/>
              <w:rPr/>
            </w:pPr>
            <w:r>
              <w:rPr/>
              <w:t>Limitations</w:t>
            </w:r>
          </w:p>
        </w:tc>
        <w:tc>
          <w:tcPr>
            <w:tcW w:w="260" w:type="dxa"/>
            <w:tcBorders/>
            <w:shd w:fill="CCEEFF" w:val="clear"/>
            <w:vAlign w:val="center"/>
          </w:tcPr>
          <w:p>
            <w:pPr>
              <w:pStyle w:val="TableContents"/>
              <w:bidi w:val="0"/>
              <w:spacing w:before="0" w:after="0"/>
              <w:jc w:val="right"/>
              <w:rPr/>
            </w:pPr>
            <w:r>
              <w:rPr/>
              <w:t>34</w:t>
            </w:r>
          </w:p>
        </w:tc>
      </w:tr>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t>Section 9.4</w:t>
            </w:r>
          </w:p>
        </w:tc>
        <w:tc>
          <w:tcPr>
            <w:tcW w:w="6140" w:type="dxa"/>
            <w:tcBorders/>
            <w:vAlign w:val="center"/>
          </w:tcPr>
          <w:p>
            <w:pPr>
              <w:pStyle w:val="TableContents"/>
              <w:bidi w:val="0"/>
              <w:spacing w:before="0" w:after="0"/>
              <w:jc w:val="left"/>
              <w:rPr/>
            </w:pPr>
            <w:r>
              <w:rPr/>
              <w:t>Compliance with Trust Indenture Act</w:t>
            </w:r>
          </w:p>
        </w:tc>
        <w:tc>
          <w:tcPr>
            <w:tcW w:w="260" w:type="dxa"/>
            <w:tcBorders/>
            <w:vAlign w:val="center"/>
          </w:tcPr>
          <w:p>
            <w:pPr>
              <w:pStyle w:val="TableContents"/>
              <w:bidi w:val="0"/>
              <w:spacing w:before="0" w:after="0"/>
              <w:jc w:val="right"/>
              <w:rPr/>
            </w:pPr>
            <w:r>
              <w:rPr/>
              <w:t>35</w:t>
            </w:r>
          </w:p>
        </w:tc>
      </w:tr>
      <w:tr>
        <w:trPr/>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left"/>
              <w:rPr/>
            </w:pPr>
            <w:r>
              <w:rPr/>
              <w:t>Section 9.5</w:t>
            </w:r>
          </w:p>
        </w:tc>
        <w:tc>
          <w:tcPr>
            <w:tcW w:w="6140" w:type="dxa"/>
            <w:tcBorders/>
            <w:shd w:fill="CCEEFF" w:val="clear"/>
            <w:vAlign w:val="center"/>
          </w:tcPr>
          <w:p>
            <w:pPr>
              <w:pStyle w:val="TableContents"/>
              <w:bidi w:val="0"/>
              <w:spacing w:before="0" w:after="0"/>
              <w:jc w:val="left"/>
              <w:rPr/>
            </w:pPr>
            <w:r>
              <w:rPr/>
              <w:t>Revocation and Effect of Consents</w:t>
            </w:r>
          </w:p>
        </w:tc>
        <w:tc>
          <w:tcPr>
            <w:tcW w:w="260" w:type="dxa"/>
            <w:tcBorders/>
            <w:shd w:fill="CCEEFF" w:val="clear"/>
            <w:vAlign w:val="center"/>
          </w:tcPr>
          <w:p>
            <w:pPr>
              <w:pStyle w:val="TableContents"/>
              <w:bidi w:val="0"/>
              <w:spacing w:before="0" w:after="0"/>
              <w:jc w:val="right"/>
              <w:rPr/>
            </w:pPr>
            <w:r>
              <w:rPr/>
              <w:t>35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(Continued)</w:t>
      </w:r>
    </w:p>
    <w:p>
      <w:pPr>
        <w:pStyle w:val="TextBody"/>
        <w:bidi w:val="0"/>
        <w:spacing w:before="0" w:after="0"/>
        <w:jc w:val="center"/>
        <w:rPr/>
      </w:pPr>
      <w:r>
        <w:rPr/>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Page</w:t>
      </w:r>
    </w:p>
    <w:p>
      <w:pPr>
        <w:pStyle w:val="TextBody"/>
        <w:bidi w:val="0"/>
        <w:spacing w:before="0" w:after="0"/>
        <w:jc w:val="left"/>
        <w:rPr>
          <w:color w:val="000000"/>
        </w:rPr>
      </w:pPr>
      <w:r>
        <w:rPr>
          <w:color w:val="000000"/>
        </w:rPr>
        <w:t> </w:t>
      </w:r>
    </w:p>
    <w:tbl>
      <w:tblPr>
        <w:tblW w:w="7500" w:type="dxa"/>
        <w:jc w:val="left"/>
        <w:tblInd w:w="0" w:type="dxa"/>
        <w:tblLayout w:type="fixed"/>
        <w:tblCellMar>
          <w:top w:w="0" w:type="dxa"/>
          <w:left w:w="0" w:type="dxa"/>
          <w:bottom w:w="0" w:type="dxa"/>
          <w:right w:w="0" w:type="dxa"/>
        </w:tblCellMar>
      </w:tblPr>
      <w:tblGrid>
        <w:gridCol w:w="60"/>
        <w:gridCol w:w="1325"/>
        <w:gridCol w:w="5855"/>
        <w:gridCol w:w="260"/>
      </w:tblGrid>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9.6</w:t>
            </w:r>
          </w:p>
        </w:tc>
        <w:tc>
          <w:tcPr>
            <w:tcW w:w="5855" w:type="dxa"/>
            <w:tcBorders/>
            <w:shd w:fill="CCEEFF" w:val="clear"/>
            <w:vAlign w:val="center"/>
          </w:tcPr>
          <w:p>
            <w:pPr>
              <w:pStyle w:val="TableContents"/>
              <w:bidi w:val="0"/>
              <w:spacing w:before="0" w:after="0"/>
              <w:jc w:val="left"/>
              <w:rPr/>
            </w:pPr>
            <w:r>
              <w:rPr/>
              <w:t>Notation on or Exchange of Securities</w:t>
            </w:r>
          </w:p>
        </w:tc>
        <w:tc>
          <w:tcPr>
            <w:tcW w:w="260" w:type="dxa"/>
            <w:tcBorders/>
            <w:shd w:fill="CCEEFF" w:val="clear"/>
            <w:vAlign w:val="center"/>
          </w:tcPr>
          <w:p>
            <w:pPr>
              <w:pStyle w:val="TableContents"/>
              <w:bidi w:val="0"/>
              <w:spacing w:before="0" w:after="283"/>
              <w:jc w:val="right"/>
              <w:rPr/>
            </w:pPr>
            <w:r>
              <w:rPr/>
              <w:t>36</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9.7</w:t>
            </w:r>
          </w:p>
        </w:tc>
        <w:tc>
          <w:tcPr>
            <w:tcW w:w="5855" w:type="dxa"/>
            <w:tcBorders/>
            <w:vAlign w:val="center"/>
          </w:tcPr>
          <w:p>
            <w:pPr>
              <w:pStyle w:val="TableContents"/>
              <w:bidi w:val="0"/>
              <w:spacing w:before="0" w:after="0"/>
              <w:jc w:val="left"/>
              <w:rPr/>
            </w:pPr>
            <w:r>
              <w:rPr/>
              <w:t>Trustee Protected</w:t>
            </w:r>
          </w:p>
        </w:tc>
        <w:tc>
          <w:tcPr>
            <w:tcW w:w="260" w:type="dxa"/>
            <w:tcBorders/>
            <w:vAlign w:val="center"/>
          </w:tcPr>
          <w:p>
            <w:pPr>
              <w:pStyle w:val="TableContents"/>
              <w:bidi w:val="0"/>
              <w:spacing w:before="0" w:after="283"/>
              <w:jc w:val="right"/>
              <w:rPr/>
            </w:pPr>
            <w:r>
              <w:rPr/>
              <w:t>36</w:t>
            </w:r>
          </w:p>
        </w:tc>
      </w:tr>
      <w:tr>
        <w:trPr/>
        <w:tc>
          <w:tcPr>
            <w:tcW w:w="724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240" w:type="dxa"/>
            <w:gridSpan w:val="3"/>
            <w:tcBorders/>
            <w:vAlign w:val="center"/>
          </w:tcPr>
          <w:p>
            <w:pPr>
              <w:pStyle w:val="TableContents"/>
              <w:bidi w:val="0"/>
              <w:spacing w:before="0" w:after="0"/>
              <w:jc w:val="left"/>
              <w:rPr/>
            </w:pPr>
            <w:r>
              <w:rPr/>
              <w:t>ARTICLE X MISCELLANEOUS</w:t>
            </w:r>
          </w:p>
        </w:tc>
        <w:tc>
          <w:tcPr>
            <w:tcW w:w="260" w:type="dxa"/>
            <w:tcBorders/>
            <w:vAlign w:val="center"/>
          </w:tcPr>
          <w:p>
            <w:pPr>
              <w:pStyle w:val="TableContents"/>
              <w:bidi w:val="0"/>
              <w:spacing w:before="0" w:after="0"/>
              <w:jc w:val="right"/>
              <w:rPr/>
            </w:pPr>
            <w:r>
              <w:rPr/>
              <w:t>36</w:t>
            </w:r>
          </w:p>
        </w:tc>
      </w:tr>
      <w:tr>
        <w:trPr/>
        <w:tc>
          <w:tcPr>
            <w:tcW w:w="724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10.1</w:t>
            </w:r>
          </w:p>
        </w:tc>
        <w:tc>
          <w:tcPr>
            <w:tcW w:w="5855" w:type="dxa"/>
            <w:tcBorders/>
            <w:vAlign w:val="center"/>
          </w:tcPr>
          <w:p>
            <w:pPr>
              <w:pStyle w:val="TableContents"/>
              <w:bidi w:val="0"/>
              <w:spacing w:before="0" w:after="0"/>
              <w:jc w:val="left"/>
              <w:rPr/>
            </w:pPr>
            <w:r>
              <w:rPr/>
              <w:t>Trust Indenture Act Controls</w:t>
            </w:r>
          </w:p>
        </w:tc>
        <w:tc>
          <w:tcPr>
            <w:tcW w:w="260" w:type="dxa"/>
            <w:tcBorders/>
            <w:vAlign w:val="center"/>
          </w:tcPr>
          <w:p>
            <w:pPr>
              <w:pStyle w:val="TableContents"/>
              <w:bidi w:val="0"/>
              <w:spacing w:before="0" w:after="283"/>
              <w:jc w:val="right"/>
              <w:rPr/>
            </w:pPr>
            <w:r>
              <w:rPr/>
              <w:t>36</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10.2</w:t>
            </w:r>
          </w:p>
        </w:tc>
        <w:tc>
          <w:tcPr>
            <w:tcW w:w="5855" w:type="dxa"/>
            <w:tcBorders/>
            <w:shd w:fill="CCEEFF" w:val="clear"/>
            <w:vAlign w:val="center"/>
          </w:tcPr>
          <w:p>
            <w:pPr>
              <w:pStyle w:val="TableContents"/>
              <w:bidi w:val="0"/>
              <w:spacing w:before="0" w:after="0"/>
              <w:jc w:val="left"/>
              <w:rPr/>
            </w:pPr>
            <w:r>
              <w:rPr/>
              <w:t>Notices</w:t>
            </w:r>
          </w:p>
        </w:tc>
        <w:tc>
          <w:tcPr>
            <w:tcW w:w="260" w:type="dxa"/>
            <w:tcBorders/>
            <w:shd w:fill="CCEEFF" w:val="clear"/>
            <w:vAlign w:val="center"/>
          </w:tcPr>
          <w:p>
            <w:pPr>
              <w:pStyle w:val="TableContents"/>
              <w:bidi w:val="0"/>
              <w:spacing w:before="0" w:after="0"/>
              <w:jc w:val="right"/>
              <w:rPr/>
            </w:pPr>
            <w:r>
              <w:rPr/>
              <w:t>36</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10.3</w:t>
            </w:r>
          </w:p>
        </w:tc>
        <w:tc>
          <w:tcPr>
            <w:tcW w:w="5855" w:type="dxa"/>
            <w:tcBorders/>
            <w:vAlign w:val="center"/>
          </w:tcPr>
          <w:p>
            <w:pPr>
              <w:pStyle w:val="TableContents"/>
              <w:bidi w:val="0"/>
              <w:spacing w:before="0" w:after="0"/>
              <w:jc w:val="left"/>
              <w:rPr/>
            </w:pPr>
            <w:r>
              <w:rPr/>
              <w:t>Communication by Holders with Other Holders</w:t>
            </w:r>
          </w:p>
        </w:tc>
        <w:tc>
          <w:tcPr>
            <w:tcW w:w="260" w:type="dxa"/>
            <w:tcBorders/>
            <w:vAlign w:val="center"/>
          </w:tcPr>
          <w:p>
            <w:pPr>
              <w:pStyle w:val="TableContents"/>
              <w:bidi w:val="0"/>
              <w:spacing w:before="0" w:after="0"/>
              <w:jc w:val="right"/>
              <w:rPr/>
            </w:pPr>
            <w:r>
              <w:rPr/>
              <w:t>37</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10.4</w:t>
            </w:r>
          </w:p>
        </w:tc>
        <w:tc>
          <w:tcPr>
            <w:tcW w:w="5855" w:type="dxa"/>
            <w:tcBorders/>
            <w:shd w:fill="CCEEFF" w:val="clear"/>
            <w:vAlign w:val="center"/>
          </w:tcPr>
          <w:p>
            <w:pPr>
              <w:pStyle w:val="TableContents"/>
              <w:bidi w:val="0"/>
              <w:spacing w:before="0" w:after="0"/>
              <w:jc w:val="left"/>
              <w:rPr/>
            </w:pPr>
            <w:r>
              <w:rPr/>
              <w:t>Certificate and Opinion as to Conditions Precedent</w:t>
            </w:r>
          </w:p>
        </w:tc>
        <w:tc>
          <w:tcPr>
            <w:tcW w:w="260" w:type="dxa"/>
            <w:tcBorders/>
            <w:shd w:fill="CCEEFF" w:val="clear"/>
            <w:vAlign w:val="center"/>
          </w:tcPr>
          <w:p>
            <w:pPr>
              <w:pStyle w:val="TableContents"/>
              <w:bidi w:val="0"/>
              <w:spacing w:before="0" w:after="0"/>
              <w:jc w:val="right"/>
              <w:rPr/>
            </w:pPr>
            <w:r>
              <w:rPr/>
              <w:t>37</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10.5</w:t>
            </w:r>
          </w:p>
        </w:tc>
        <w:tc>
          <w:tcPr>
            <w:tcW w:w="5855" w:type="dxa"/>
            <w:tcBorders/>
            <w:vAlign w:val="center"/>
          </w:tcPr>
          <w:p>
            <w:pPr>
              <w:pStyle w:val="TableContents"/>
              <w:bidi w:val="0"/>
              <w:spacing w:before="0" w:after="0"/>
              <w:jc w:val="left"/>
              <w:rPr/>
            </w:pPr>
            <w:r>
              <w:rPr/>
              <w:t>Statements Required in Certificate or Opinion</w:t>
            </w:r>
          </w:p>
        </w:tc>
        <w:tc>
          <w:tcPr>
            <w:tcW w:w="260" w:type="dxa"/>
            <w:tcBorders/>
            <w:vAlign w:val="center"/>
          </w:tcPr>
          <w:p>
            <w:pPr>
              <w:pStyle w:val="TableContents"/>
              <w:bidi w:val="0"/>
              <w:spacing w:before="0" w:after="0"/>
              <w:jc w:val="right"/>
              <w:rPr/>
            </w:pPr>
            <w:r>
              <w:rPr/>
              <w:t>37</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10.6</w:t>
            </w:r>
          </w:p>
        </w:tc>
        <w:tc>
          <w:tcPr>
            <w:tcW w:w="5855" w:type="dxa"/>
            <w:tcBorders/>
            <w:shd w:fill="CCEEFF" w:val="clear"/>
            <w:vAlign w:val="center"/>
          </w:tcPr>
          <w:p>
            <w:pPr>
              <w:pStyle w:val="TableContents"/>
              <w:bidi w:val="0"/>
              <w:spacing w:before="0" w:after="0"/>
              <w:jc w:val="left"/>
              <w:rPr/>
            </w:pPr>
            <w:r>
              <w:rPr/>
              <w:t>Rules by Trustee and Agents</w:t>
            </w:r>
          </w:p>
        </w:tc>
        <w:tc>
          <w:tcPr>
            <w:tcW w:w="260" w:type="dxa"/>
            <w:tcBorders/>
            <w:shd w:fill="CCEEFF" w:val="clear"/>
            <w:vAlign w:val="center"/>
          </w:tcPr>
          <w:p>
            <w:pPr>
              <w:pStyle w:val="TableContents"/>
              <w:bidi w:val="0"/>
              <w:spacing w:before="0" w:after="0"/>
              <w:jc w:val="right"/>
              <w:rPr/>
            </w:pPr>
            <w:r>
              <w:rPr/>
              <w:t>38</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10.7</w:t>
            </w:r>
          </w:p>
        </w:tc>
        <w:tc>
          <w:tcPr>
            <w:tcW w:w="5855" w:type="dxa"/>
            <w:tcBorders/>
            <w:vAlign w:val="center"/>
          </w:tcPr>
          <w:p>
            <w:pPr>
              <w:pStyle w:val="TableContents"/>
              <w:bidi w:val="0"/>
              <w:spacing w:before="0" w:after="0"/>
              <w:jc w:val="left"/>
              <w:rPr/>
            </w:pPr>
            <w:r>
              <w:rPr/>
              <w:t>Legal Holidays</w:t>
            </w:r>
          </w:p>
        </w:tc>
        <w:tc>
          <w:tcPr>
            <w:tcW w:w="260" w:type="dxa"/>
            <w:tcBorders/>
            <w:vAlign w:val="center"/>
          </w:tcPr>
          <w:p>
            <w:pPr>
              <w:pStyle w:val="TableContents"/>
              <w:bidi w:val="0"/>
              <w:spacing w:before="0" w:after="283"/>
              <w:jc w:val="right"/>
              <w:rPr/>
            </w:pPr>
            <w:r>
              <w:rPr/>
              <w:t>38</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10.8</w:t>
            </w:r>
          </w:p>
        </w:tc>
        <w:tc>
          <w:tcPr>
            <w:tcW w:w="5855" w:type="dxa"/>
            <w:tcBorders/>
            <w:shd w:fill="CCEEFF" w:val="clear"/>
            <w:vAlign w:val="center"/>
          </w:tcPr>
          <w:p>
            <w:pPr>
              <w:pStyle w:val="TableContents"/>
              <w:bidi w:val="0"/>
              <w:spacing w:before="0" w:after="0"/>
              <w:jc w:val="left"/>
              <w:rPr/>
            </w:pPr>
            <w:r>
              <w:rPr/>
              <w:t>No Recourse Against Others</w:t>
            </w:r>
          </w:p>
        </w:tc>
        <w:tc>
          <w:tcPr>
            <w:tcW w:w="260" w:type="dxa"/>
            <w:tcBorders/>
            <w:shd w:fill="CCEEFF" w:val="clear"/>
            <w:vAlign w:val="center"/>
          </w:tcPr>
          <w:p>
            <w:pPr>
              <w:pStyle w:val="TableContents"/>
              <w:bidi w:val="0"/>
              <w:spacing w:before="0" w:after="283"/>
              <w:jc w:val="right"/>
              <w:rPr/>
            </w:pPr>
            <w:r>
              <w:rPr/>
              <w:t>38</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10.9</w:t>
            </w:r>
          </w:p>
        </w:tc>
        <w:tc>
          <w:tcPr>
            <w:tcW w:w="5855" w:type="dxa"/>
            <w:tcBorders/>
            <w:vAlign w:val="center"/>
          </w:tcPr>
          <w:p>
            <w:pPr>
              <w:pStyle w:val="TableContents"/>
              <w:bidi w:val="0"/>
              <w:spacing w:before="0" w:after="0"/>
              <w:jc w:val="left"/>
              <w:rPr/>
            </w:pPr>
            <w:r>
              <w:rPr/>
              <w:t>Counterparts</w:t>
            </w:r>
          </w:p>
        </w:tc>
        <w:tc>
          <w:tcPr>
            <w:tcW w:w="260" w:type="dxa"/>
            <w:tcBorders/>
            <w:vAlign w:val="center"/>
          </w:tcPr>
          <w:p>
            <w:pPr>
              <w:pStyle w:val="TableContents"/>
              <w:bidi w:val="0"/>
              <w:spacing w:before="0" w:after="283"/>
              <w:jc w:val="right"/>
              <w:rPr/>
            </w:pPr>
            <w:r>
              <w:rPr/>
              <w:t>38</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10.10</w:t>
            </w:r>
          </w:p>
        </w:tc>
        <w:tc>
          <w:tcPr>
            <w:tcW w:w="5855" w:type="dxa"/>
            <w:tcBorders/>
            <w:shd w:fill="CCEEFF" w:val="clear"/>
            <w:vAlign w:val="center"/>
          </w:tcPr>
          <w:p>
            <w:pPr>
              <w:pStyle w:val="TableContents"/>
              <w:bidi w:val="0"/>
              <w:spacing w:before="0" w:after="0"/>
              <w:jc w:val="left"/>
              <w:rPr/>
            </w:pPr>
            <w:r>
              <w:rPr/>
              <w:t>Governing Law; Waiver of Jury Trial; Consent to Jurisdiction</w:t>
            </w:r>
          </w:p>
        </w:tc>
        <w:tc>
          <w:tcPr>
            <w:tcW w:w="260" w:type="dxa"/>
            <w:tcBorders/>
            <w:shd w:fill="CCEEFF" w:val="clear"/>
            <w:vAlign w:val="center"/>
          </w:tcPr>
          <w:p>
            <w:pPr>
              <w:pStyle w:val="TableContents"/>
              <w:bidi w:val="0"/>
              <w:spacing w:before="0" w:after="0"/>
              <w:jc w:val="right"/>
              <w:rPr/>
            </w:pPr>
            <w:r>
              <w:rPr/>
              <w:t>38</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10.11</w:t>
            </w:r>
          </w:p>
        </w:tc>
        <w:tc>
          <w:tcPr>
            <w:tcW w:w="5855" w:type="dxa"/>
            <w:tcBorders/>
            <w:vAlign w:val="center"/>
          </w:tcPr>
          <w:p>
            <w:pPr>
              <w:pStyle w:val="TableContents"/>
              <w:bidi w:val="0"/>
              <w:spacing w:before="0" w:after="0"/>
              <w:jc w:val="left"/>
              <w:rPr/>
            </w:pPr>
            <w:r>
              <w:rPr/>
              <w:t>No Adverse Interpretation of Other Agreements</w:t>
            </w:r>
          </w:p>
        </w:tc>
        <w:tc>
          <w:tcPr>
            <w:tcW w:w="260" w:type="dxa"/>
            <w:tcBorders/>
            <w:vAlign w:val="center"/>
          </w:tcPr>
          <w:p>
            <w:pPr>
              <w:pStyle w:val="TableContents"/>
              <w:bidi w:val="0"/>
              <w:spacing w:before="0" w:after="0"/>
              <w:jc w:val="right"/>
              <w:rPr/>
            </w:pPr>
            <w:r>
              <w:rPr/>
              <w:t>39</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10.12</w:t>
            </w:r>
          </w:p>
        </w:tc>
        <w:tc>
          <w:tcPr>
            <w:tcW w:w="5855" w:type="dxa"/>
            <w:tcBorders/>
            <w:shd w:fill="CCEEFF" w:val="clear"/>
            <w:vAlign w:val="center"/>
          </w:tcPr>
          <w:p>
            <w:pPr>
              <w:pStyle w:val="TableContents"/>
              <w:bidi w:val="0"/>
              <w:spacing w:before="0" w:after="0"/>
              <w:jc w:val="left"/>
              <w:rPr/>
            </w:pPr>
            <w:r>
              <w:rPr/>
              <w:t>Successors</w:t>
            </w:r>
          </w:p>
        </w:tc>
        <w:tc>
          <w:tcPr>
            <w:tcW w:w="260" w:type="dxa"/>
            <w:tcBorders/>
            <w:shd w:fill="CCEEFF" w:val="clear"/>
            <w:vAlign w:val="center"/>
          </w:tcPr>
          <w:p>
            <w:pPr>
              <w:pStyle w:val="TableContents"/>
              <w:bidi w:val="0"/>
              <w:spacing w:before="0" w:after="0"/>
              <w:jc w:val="right"/>
              <w:rPr/>
            </w:pPr>
            <w:r>
              <w:rPr/>
              <w:t>39</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10.13</w:t>
            </w:r>
          </w:p>
        </w:tc>
        <w:tc>
          <w:tcPr>
            <w:tcW w:w="5855" w:type="dxa"/>
            <w:tcBorders/>
            <w:vAlign w:val="center"/>
          </w:tcPr>
          <w:p>
            <w:pPr>
              <w:pStyle w:val="TableContents"/>
              <w:bidi w:val="0"/>
              <w:spacing w:before="0" w:after="0"/>
              <w:jc w:val="left"/>
              <w:rPr/>
            </w:pPr>
            <w:r>
              <w:rPr/>
              <w:t>Severability</w:t>
            </w:r>
          </w:p>
        </w:tc>
        <w:tc>
          <w:tcPr>
            <w:tcW w:w="260" w:type="dxa"/>
            <w:tcBorders/>
            <w:vAlign w:val="center"/>
          </w:tcPr>
          <w:p>
            <w:pPr>
              <w:pStyle w:val="TableContents"/>
              <w:bidi w:val="0"/>
              <w:spacing w:before="0" w:after="0"/>
              <w:jc w:val="right"/>
              <w:rPr/>
            </w:pPr>
            <w:r>
              <w:rPr/>
              <w:t>39</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10.14</w:t>
            </w:r>
          </w:p>
        </w:tc>
        <w:tc>
          <w:tcPr>
            <w:tcW w:w="5855" w:type="dxa"/>
            <w:tcBorders/>
            <w:shd w:fill="CCEEFF" w:val="clear"/>
            <w:vAlign w:val="center"/>
          </w:tcPr>
          <w:p>
            <w:pPr>
              <w:pStyle w:val="TableContents"/>
              <w:bidi w:val="0"/>
              <w:spacing w:before="0" w:after="0"/>
              <w:jc w:val="left"/>
              <w:rPr/>
            </w:pPr>
            <w:r>
              <w:rPr/>
              <w:t>Table of Contents, Headings, Etc</w:t>
            </w:r>
          </w:p>
        </w:tc>
        <w:tc>
          <w:tcPr>
            <w:tcW w:w="260" w:type="dxa"/>
            <w:tcBorders/>
            <w:shd w:fill="CCEEFF" w:val="clear"/>
            <w:vAlign w:val="center"/>
          </w:tcPr>
          <w:p>
            <w:pPr>
              <w:pStyle w:val="TableContents"/>
              <w:bidi w:val="0"/>
              <w:spacing w:before="0" w:after="0"/>
              <w:jc w:val="right"/>
              <w:rPr/>
            </w:pPr>
            <w:r>
              <w:rPr/>
              <w:t>39</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10.15</w:t>
            </w:r>
          </w:p>
        </w:tc>
        <w:tc>
          <w:tcPr>
            <w:tcW w:w="5855" w:type="dxa"/>
            <w:tcBorders/>
            <w:vAlign w:val="center"/>
          </w:tcPr>
          <w:p>
            <w:pPr>
              <w:pStyle w:val="TableContents"/>
              <w:bidi w:val="0"/>
              <w:spacing w:before="0" w:after="0"/>
              <w:jc w:val="left"/>
              <w:rPr/>
            </w:pPr>
            <w:r>
              <w:rPr/>
              <w:t>Securities in a Foreign Currency</w:t>
            </w:r>
          </w:p>
        </w:tc>
        <w:tc>
          <w:tcPr>
            <w:tcW w:w="260" w:type="dxa"/>
            <w:tcBorders/>
            <w:vAlign w:val="center"/>
          </w:tcPr>
          <w:p>
            <w:pPr>
              <w:pStyle w:val="TableContents"/>
              <w:bidi w:val="0"/>
              <w:spacing w:before="0" w:after="0"/>
              <w:jc w:val="right"/>
              <w:rPr/>
            </w:pPr>
            <w:r>
              <w:rPr/>
              <w:t>39</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10.16</w:t>
            </w:r>
          </w:p>
        </w:tc>
        <w:tc>
          <w:tcPr>
            <w:tcW w:w="5855" w:type="dxa"/>
            <w:tcBorders/>
            <w:shd w:fill="CCEEFF" w:val="clear"/>
            <w:vAlign w:val="center"/>
          </w:tcPr>
          <w:p>
            <w:pPr>
              <w:pStyle w:val="TableContents"/>
              <w:bidi w:val="0"/>
              <w:spacing w:before="0" w:after="0"/>
              <w:jc w:val="left"/>
              <w:rPr/>
            </w:pPr>
            <w:r>
              <w:rPr/>
              <w:t>Judgment Currency</w:t>
            </w:r>
          </w:p>
        </w:tc>
        <w:tc>
          <w:tcPr>
            <w:tcW w:w="260" w:type="dxa"/>
            <w:tcBorders/>
            <w:shd w:fill="CCEEFF" w:val="clear"/>
            <w:vAlign w:val="center"/>
          </w:tcPr>
          <w:p>
            <w:pPr>
              <w:pStyle w:val="TableContents"/>
              <w:bidi w:val="0"/>
              <w:spacing w:before="0" w:after="0"/>
              <w:jc w:val="right"/>
              <w:rPr/>
            </w:pPr>
            <w:r>
              <w:rPr/>
              <w:t>40</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10.17</w:t>
            </w:r>
          </w:p>
        </w:tc>
        <w:tc>
          <w:tcPr>
            <w:tcW w:w="5855" w:type="dxa"/>
            <w:tcBorders/>
            <w:vAlign w:val="center"/>
          </w:tcPr>
          <w:p>
            <w:pPr>
              <w:pStyle w:val="TableContents"/>
              <w:bidi w:val="0"/>
              <w:spacing w:before="0" w:after="0"/>
              <w:jc w:val="left"/>
              <w:rPr/>
            </w:pPr>
            <w:r>
              <w:rPr/>
              <w:t>Force Majeure</w:t>
            </w:r>
          </w:p>
        </w:tc>
        <w:tc>
          <w:tcPr>
            <w:tcW w:w="260" w:type="dxa"/>
            <w:tcBorders/>
            <w:vAlign w:val="center"/>
          </w:tcPr>
          <w:p>
            <w:pPr>
              <w:pStyle w:val="TableContents"/>
              <w:bidi w:val="0"/>
              <w:spacing w:before="0" w:after="0"/>
              <w:jc w:val="right"/>
              <w:rPr/>
            </w:pPr>
            <w:r>
              <w:rPr/>
              <w:t>40</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10.18</w:t>
            </w:r>
          </w:p>
        </w:tc>
        <w:tc>
          <w:tcPr>
            <w:tcW w:w="5855" w:type="dxa"/>
            <w:tcBorders/>
            <w:shd w:fill="CCEEFF" w:val="clear"/>
            <w:vAlign w:val="center"/>
          </w:tcPr>
          <w:p>
            <w:pPr>
              <w:pStyle w:val="TableContents"/>
              <w:bidi w:val="0"/>
              <w:spacing w:before="0" w:after="0"/>
              <w:jc w:val="left"/>
              <w:rPr/>
            </w:pPr>
            <w:r>
              <w:rPr/>
              <w:t>U.S.A. Patriot Act</w:t>
            </w:r>
          </w:p>
        </w:tc>
        <w:tc>
          <w:tcPr>
            <w:tcW w:w="260" w:type="dxa"/>
            <w:tcBorders/>
            <w:shd w:fill="CCEEFF" w:val="clear"/>
            <w:vAlign w:val="center"/>
          </w:tcPr>
          <w:p>
            <w:pPr>
              <w:pStyle w:val="TableContents"/>
              <w:bidi w:val="0"/>
              <w:spacing w:before="0" w:after="0"/>
              <w:jc w:val="right"/>
              <w:rPr/>
            </w:pPr>
            <w:r>
              <w:rPr/>
              <w:t>40</w:t>
            </w:r>
          </w:p>
        </w:tc>
      </w:tr>
      <w:tr>
        <w:trPr/>
        <w:tc>
          <w:tcPr>
            <w:tcW w:w="7240"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7240" w:type="dxa"/>
            <w:gridSpan w:val="3"/>
            <w:tcBorders/>
            <w:shd w:fill="CCEEFF" w:val="clear"/>
            <w:vAlign w:val="center"/>
          </w:tcPr>
          <w:p>
            <w:pPr>
              <w:pStyle w:val="TableContents"/>
              <w:bidi w:val="0"/>
              <w:spacing w:before="0" w:after="0"/>
              <w:jc w:val="left"/>
              <w:rPr/>
            </w:pPr>
            <w:r>
              <w:rPr/>
              <w:t>ARTICLE XI SINKING FUNDS</w:t>
            </w:r>
          </w:p>
        </w:tc>
        <w:tc>
          <w:tcPr>
            <w:tcW w:w="260" w:type="dxa"/>
            <w:tcBorders/>
            <w:shd w:fill="CCEEFF" w:val="clear"/>
            <w:vAlign w:val="center"/>
          </w:tcPr>
          <w:p>
            <w:pPr>
              <w:pStyle w:val="TableContents"/>
              <w:bidi w:val="0"/>
              <w:spacing w:before="0" w:after="0"/>
              <w:jc w:val="right"/>
              <w:rPr/>
            </w:pPr>
            <w:r>
              <w:rPr/>
              <w:t>41</w:t>
            </w:r>
          </w:p>
        </w:tc>
      </w:tr>
      <w:tr>
        <w:trPr/>
        <w:tc>
          <w:tcPr>
            <w:tcW w:w="7240"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11.1</w:t>
            </w:r>
          </w:p>
        </w:tc>
        <w:tc>
          <w:tcPr>
            <w:tcW w:w="5855" w:type="dxa"/>
            <w:tcBorders/>
            <w:shd w:fill="CCEEFF" w:val="clear"/>
            <w:vAlign w:val="center"/>
          </w:tcPr>
          <w:p>
            <w:pPr>
              <w:pStyle w:val="TableContents"/>
              <w:bidi w:val="0"/>
              <w:spacing w:before="0" w:after="0"/>
              <w:jc w:val="left"/>
              <w:rPr/>
            </w:pPr>
            <w:r>
              <w:rPr/>
              <w:t>Applicability of Article</w:t>
            </w:r>
          </w:p>
        </w:tc>
        <w:tc>
          <w:tcPr>
            <w:tcW w:w="260" w:type="dxa"/>
            <w:tcBorders/>
            <w:shd w:fill="CCEEFF" w:val="clear"/>
            <w:vAlign w:val="center"/>
          </w:tcPr>
          <w:p>
            <w:pPr>
              <w:pStyle w:val="TableContents"/>
              <w:bidi w:val="0"/>
              <w:spacing w:before="0" w:after="0"/>
              <w:jc w:val="right"/>
              <w:rPr/>
            </w:pPr>
            <w:r>
              <w:rPr/>
              <w:t>41</w:t>
            </w:r>
          </w:p>
        </w:tc>
      </w:tr>
      <w:tr>
        <w:trPr/>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pPr>
            <w:r>
              <w:rPr/>
              <w:t>Section 11.2</w:t>
            </w:r>
          </w:p>
        </w:tc>
        <w:tc>
          <w:tcPr>
            <w:tcW w:w="5855" w:type="dxa"/>
            <w:tcBorders/>
            <w:vAlign w:val="center"/>
          </w:tcPr>
          <w:p>
            <w:pPr>
              <w:pStyle w:val="TableContents"/>
              <w:bidi w:val="0"/>
              <w:spacing w:before="0" w:after="0"/>
              <w:jc w:val="left"/>
              <w:rPr/>
            </w:pPr>
            <w:r>
              <w:rPr/>
              <w:t>Satisfaction of Sinking Fund Payments with Securities</w:t>
            </w:r>
          </w:p>
        </w:tc>
        <w:tc>
          <w:tcPr>
            <w:tcW w:w="260" w:type="dxa"/>
            <w:tcBorders/>
            <w:vAlign w:val="center"/>
          </w:tcPr>
          <w:p>
            <w:pPr>
              <w:pStyle w:val="TableContents"/>
              <w:bidi w:val="0"/>
              <w:spacing w:before="0" w:after="0"/>
              <w:jc w:val="right"/>
              <w:rPr/>
            </w:pPr>
            <w:r>
              <w:rPr/>
              <w:t>41</w:t>
            </w:r>
          </w:p>
        </w:tc>
      </w:tr>
      <w:tr>
        <w:trPr/>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left"/>
              <w:rPr/>
            </w:pPr>
            <w:r>
              <w:rPr/>
              <w:t>Section 11.3</w:t>
            </w:r>
          </w:p>
        </w:tc>
        <w:tc>
          <w:tcPr>
            <w:tcW w:w="5855" w:type="dxa"/>
            <w:tcBorders/>
            <w:shd w:fill="CCEEFF" w:val="clear"/>
            <w:vAlign w:val="center"/>
          </w:tcPr>
          <w:p>
            <w:pPr>
              <w:pStyle w:val="TableContents"/>
              <w:bidi w:val="0"/>
              <w:spacing w:before="0" w:after="0"/>
              <w:jc w:val="left"/>
              <w:rPr/>
            </w:pPr>
            <w:r>
              <w:rPr/>
              <w:t>Redemption of Securities for Sinking Fund</w:t>
            </w:r>
          </w:p>
        </w:tc>
        <w:tc>
          <w:tcPr>
            <w:tcW w:w="260" w:type="dxa"/>
            <w:tcBorders/>
            <w:shd w:fill="CCEEFF" w:val="clear"/>
            <w:vAlign w:val="center"/>
          </w:tcPr>
          <w:p>
            <w:pPr>
              <w:pStyle w:val="TableContents"/>
              <w:bidi w:val="0"/>
              <w:spacing w:before="0" w:after="0"/>
              <w:jc w:val="right"/>
              <w:rPr/>
            </w:pPr>
            <w:r>
              <w:rPr/>
              <w:t>42</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 w:hAnsi="Times New Roman"/>
          <w:b/>
          <w:color w:val="000000"/>
          <w:sz w:val="20"/>
        </w:rPr>
      </w:pPr>
      <w:r>
        <w:rPr>
          <w:rFonts w:ascii="Times New Roman" w:hAnsi="Times New Roman"/>
          <w:b/>
          <w:color w:val="000000"/>
          <w:sz w:val="20"/>
        </w:rPr>
        <w:t>VIRNETX HOLDING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Reconciliation and tie between Trust Indenture Act of 1939 and Indenture, dated as of     , 20</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1c7c0d5fdfba450095fe5e872af3c833"/>
      <w:bookmarkStart w:id="61" w:name="z1c7c0d5fdfba450095fe5e872af3c833"/>
      <w:bookmarkEnd w:id="61"/>
    </w:p>
    <w:tbl>
      <w:tblPr>
        <w:tblW w:w="2620" w:type="dxa"/>
        <w:jc w:val="left"/>
        <w:tblInd w:w="0" w:type="dxa"/>
        <w:tblLayout w:type="fixed"/>
        <w:tblCellMar>
          <w:top w:w="0" w:type="dxa"/>
          <w:left w:w="0" w:type="dxa"/>
          <w:bottom w:w="0" w:type="dxa"/>
          <w:right w:w="0" w:type="dxa"/>
        </w:tblCellMar>
      </w:tblPr>
      <w:tblGrid>
        <w:gridCol w:w="1085"/>
        <w:gridCol w:w="60"/>
        <w:gridCol w:w="1475"/>
      </w:tblGrid>
      <w:tr>
        <w:trPr/>
        <w:tc>
          <w:tcPr>
            <w:tcW w:w="1085" w:type="dxa"/>
            <w:tcBorders/>
            <w:shd w:fill="CCEEFF" w:val="clear"/>
            <w:vAlign w:val="center"/>
          </w:tcPr>
          <w:p>
            <w:pPr>
              <w:pStyle w:val="TableContents"/>
              <w:bidi w:val="0"/>
              <w:spacing w:before="0" w:after="0"/>
              <w:jc w:val="right"/>
              <w:rPr/>
            </w:pPr>
            <w:r>
              <w:rPr/>
              <w:t>§ 310(a)(1)</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7.10</w:t>
            </w:r>
          </w:p>
        </w:tc>
      </w:tr>
      <w:tr>
        <w:trPr/>
        <w:tc>
          <w:tcPr>
            <w:tcW w:w="1085" w:type="dxa"/>
            <w:tcBorders/>
            <w:vAlign w:val="center"/>
          </w:tcPr>
          <w:p>
            <w:pPr>
              <w:pStyle w:val="TableContents"/>
              <w:bidi w:val="0"/>
              <w:spacing w:before="0" w:after="0"/>
              <w:jc w:val="right"/>
              <w:rPr/>
            </w:pPr>
            <w:r>
              <w:rPr/>
              <w:t>(a)(2)</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7.10</w:t>
            </w:r>
          </w:p>
        </w:tc>
      </w:tr>
      <w:tr>
        <w:trPr/>
        <w:tc>
          <w:tcPr>
            <w:tcW w:w="1085" w:type="dxa"/>
            <w:tcBorders/>
            <w:shd w:fill="CCEEFF" w:val="clear"/>
            <w:vAlign w:val="center"/>
          </w:tcPr>
          <w:p>
            <w:pPr>
              <w:pStyle w:val="TableContents"/>
              <w:bidi w:val="0"/>
              <w:spacing w:before="0" w:after="0"/>
              <w:jc w:val="right"/>
              <w:rPr/>
            </w:pPr>
            <w:r>
              <w:rPr/>
              <w:t>(a)(3)</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Not Applicable</w:t>
            </w:r>
          </w:p>
        </w:tc>
      </w:tr>
      <w:tr>
        <w:trPr/>
        <w:tc>
          <w:tcPr>
            <w:tcW w:w="1085" w:type="dxa"/>
            <w:tcBorders/>
            <w:vAlign w:val="center"/>
          </w:tcPr>
          <w:p>
            <w:pPr>
              <w:pStyle w:val="TableContents"/>
              <w:bidi w:val="0"/>
              <w:spacing w:before="0" w:after="0"/>
              <w:jc w:val="right"/>
              <w:rPr/>
            </w:pPr>
            <w:r>
              <w:rPr/>
              <w:t>(a)(4)</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Not Applicable</w:t>
            </w:r>
          </w:p>
        </w:tc>
      </w:tr>
      <w:tr>
        <w:trPr/>
        <w:tc>
          <w:tcPr>
            <w:tcW w:w="1085" w:type="dxa"/>
            <w:tcBorders/>
            <w:shd w:fill="CCEEFF" w:val="clear"/>
            <w:vAlign w:val="center"/>
          </w:tcPr>
          <w:p>
            <w:pPr>
              <w:pStyle w:val="TableContents"/>
              <w:bidi w:val="0"/>
              <w:spacing w:before="0" w:after="0"/>
              <w:jc w:val="right"/>
              <w:rPr/>
            </w:pPr>
            <w:r>
              <w:rPr/>
              <w:t>(a)(5)</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7.10</w:t>
            </w:r>
          </w:p>
        </w:tc>
      </w:tr>
      <w:tr>
        <w:trPr/>
        <w:tc>
          <w:tcPr>
            <w:tcW w:w="1085" w:type="dxa"/>
            <w:tcBorders/>
            <w:vAlign w:val="center"/>
          </w:tcPr>
          <w:p>
            <w:pPr>
              <w:pStyle w:val="TableContents"/>
              <w:bidi w:val="0"/>
              <w:spacing w:before="0" w:after="0"/>
              <w:jc w:val="right"/>
              <w:rPr/>
            </w:pPr>
            <w:r>
              <w:rPr/>
              <w:t>(b)</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7.10</w:t>
            </w:r>
          </w:p>
        </w:tc>
      </w:tr>
      <w:tr>
        <w:trPr/>
        <w:tc>
          <w:tcPr>
            <w:tcW w:w="1085" w:type="dxa"/>
            <w:tcBorders/>
            <w:shd w:fill="CCEEFF" w:val="clear"/>
            <w:vAlign w:val="center"/>
          </w:tcPr>
          <w:p>
            <w:pPr>
              <w:pStyle w:val="TableContents"/>
              <w:bidi w:val="0"/>
              <w:spacing w:before="0" w:after="0"/>
              <w:jc w:val="right"/>
              <w:rPr/>
            </w:pPr>
            <w:r>
              <w:rPr/>
              <w:t>§ 311(a)</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7.11</w:t>
            </w:r>
          </w:p>
        </w:tc>
      </w:tr>
      <w:tr>
        <w:trPr/>
        <w:tc>
          <w:tcPr>
            <w:tcW w:w="1085" w:type="dxa"/>
            <w:tcBorders/>
            <w:vAlign w:val="center"/>
          </w:tcPr>
          <w:p>
            <w:pPr>
              <w:pStyle w:val="TableContents"/>
              <w:bidi w:val="0"/>
              <w:spacing w:before="0" w:after="0"/>
              <w:jc w:val="right"/>
              <w:rPr/>
            </w:pPr>
            <w:r>
              <w:rPr/>
              <w:t>(b)</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7.11</w:t>
            </w:r>
          </w:p>
        </w:tc>
      </w:tr>
      <w:tr>
        <w:trPr/>
        <w:tc>
          <w:tcPr>
            <w:tcW w:w="1085" w:type="dxa"/>
            <w:tcBorders/>
            <w:shd w:fill="CCEEFF" w:val="clear"/>
            <w:vAlign w:val="center"/>
          </w:tcPr>
          <w:p>
            <w:pPr>
              <w:pStyle w:val="TableContents"/>
              <w:bidi w:val="0"/>
              <w:spacing w:before="0" w:after="0"/>
              <w:jc w:val="right"/>
              <w:rPr/>
            </w:pPr>
            <w:r>
              <w:rPr/>
              <w:t>(c)</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Not Applicable</w:t>
            </w:r>
          </w:p>
        </w:tc>
      </w:tr>
      <w:tr>
        <w:trPr/>
        <w:tc>
          <w:tcPr>
            <w:tcW w:w="1085" w:type="dxa"/>
            <w:tcBorders/>
            <w:vAlign w:val="center"/>
          </w:tcPr>
          <w:p>
            <w:pPr>
              <w:pStyle w:val="TableContents"/>
              <w:bidi w:val="0"/>
              <w:spacing w:before="0" w:after="0"/>
              <w:jc w:val="right"/>
              <w:rPr/>
            </w:pPr>
            <w:r>
              <w:rPr/>
              <w:t>§ 312(a)</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2.6</w:t>
            </w:r>
          </w:p>
        </w:tc>
      </w:tr>
      <w:tr>
        <w:trPr/>
        <w:tc>
          <w:tcPr>
            <w:tcW w:w="1085" w:type="dxa"/>
            <w:tcBorders/>
            <w:shd w:fill="CCEEFF" w:val="clear"/>
            <w:vAlign w:val="center"/>
          </w:tcPr>
          <w:p>
            <w:pPr>
              <w:pStyle w:val="TableContents"/>
              <w:bidi w:val="0"/>
              <w:spacing w:before="0" w:after="0"/>
              <w:jc w:val="right"/>
              <w:rPr/>
            </w:pPr>
            <w:r>
              <w:rPr/>
              <w:t>(b)</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10.3</w:t>
            </w:r>
          </w:p>
        </w:tc>
      </w:tr>
      <w:tr>
        <w:trPr/>
        <w:tc>
          <w:tcPr>
            <w:tcW w:w="1085" w:type="dxa"/>
            <w:tcBorders/>
            <w:vAlign w:val="center"/>
          </w:tcPr>
          <w:p>
            <w:pPr>
              <w:pStyle w:val="TableContents"/>
              <w:bidi w:val="0"/>
              <w:spacing w:before="0" w:after="0"/>
              <w:jc w:val="right"/>
              <w:rPr/>
            </w:pPr>
            <w:r>
              <w:rPr/>
              <w:t>(c)</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10.3</w:t>
            </w:r>
          </w:p>
        </w:tc>
      </w:tr>
      <w:tr>
        <w:trPr/>
        <w:tc>
          <w:tcPr>
            <w:tcW w:w="1085" w:type="dxa"/>
            <w:tcBorders/>
            <w:shd w:fill="CCEEFF" w:val="clear"/>
            <w:vAlign w:val="center"/>
          </w:tcPr>
          <w:p>
            <w:pPr>
              <w:pStyle w:val="TableContents"/>
              <w:bidi w:val="0"/>
              <w:spacing w:before="0" w:after="0"/>
              <w:jc w:val="right"/>
              <w:rPr/>
            </w:pPr>
            <w:r>
              <w:rPr/>
              <w:t>§ 313(a)</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7.6</w:t>
            </w:r>
          </w:p>
        </w:tc>
      </w:tr>
      <w:tr>
        <w:trPr/>
        <w:tc>
          <w:tcPr>
            <w:tcW w:w="1085" w:type="dxa"/>
            <w:tcBorders/>
            <w:vAlign w:val="center"/>
          </w:tcPr>
          <w:p>
            <w:pPr>
              <w:pStyle w:val="TableContents"/>
              <w:bidi w:val="0"/>
              <w:spacing w:before="0" w:after="0"/>
              <w:jc w:val="right"/>
              <w:rPr/>
            </w:pPr>
            <w:r>
              <w:rPr/>
              <w:t>(b)(1)</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7.6</w:t>
            </w:r>
          </w:p>
        </w:tc>
      </w:tr>
      <w:tr>
        <w:trPr/>
        <w:tc>
          <w:tcPr>
            <w:tcW w:w="1085" w:type="dxa"/>
            <w:tcBorders/>
            <w:shd w:fill="CCEEFF" w:val="clear"/>
            <w:vAlign w:val="center"/>
          </w:tcPr>
          <w:p>
            <w:pPr>
              <w:pStyle w:val="TableContents"/>
              <w:bidi w:val="0"/>
              <w:spacing w:before="0" w:after="0"/>
              <w:jc w:val="right"/>
              <w:rPr/>
            </w:pPr>
            <w:r>
              <w:rPr/>
              <w:t>(b)(2)</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7.6</w:t>
            </w:r>
          </w:p>
        </w:tc>
      </w:tr>
      <w:tr>
        <w:trPr/>
        <w:tc>
          <w:tcPr>
            <w:tcW w:w="1085" w:type="dxa"/>
            <w:tcBorders/>
            <w:vAlign w:val="center"/>
          </w:tcPr>
          <w:p>
            <w:pPr>
              <w:pStyle w:val="TableContents"/>
              <w:bidi w:val="0"/>
              <w:spacing w:before="0" w:after="0"/>
              <w:jc w:val="right"/>
              <w:rPr/>
            </w:pPr>
            <w:r>
              <w:rPr/>
              <w:t>(c)(1)</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7.6</w:t>
            </w:r>
          </w:p>
        </w:tc>
      </w:tr>
      <w:tr>
        <w:trPr/>
        <w:tc>
          <w:tcPr>
            <w:tcW w:w="1085" w:type="dxa"/>
            <w:tcBorders/>
            <w:shd w:fill="CCEEFF" w:val="clear"/>
            <w:vAlign w:val="center"/>
          </w:tcPr>
          <w:p>
            <w:pPr>
              <w:pStyle w:val="TableContents"/>
              <w:bidi w:val="0"/>
              <w:spacing w:before="0" w:after="0"/>
              <w:jc w:val="right"/>
              <w:rPr/>
            </w:pPr>
            <w:r>
              <w:rPr/>
              <w:t>(d)</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7.6</w:t>
            </w:r>
          </w:p>
        </w:tc>
      </w:tr>
      <w:tr>
        <w:trPr/>
        <w:tc>
          <w:tcPr>
            <w:tcW w:w="1085" w:type="dxa"/>
            <w:tcBorders/>
            <w:vAlign w:val="center"/>
          </w:tcPr>
          <w:p>
            <w:pPr>
              <w:pStyle w:val="TableContents"/>
              <w:bidi w:val="0"/>
              <w:spacing w:before="0" w:after="0"/>
              <w:jc w:val="right"/>
              <w:rPr/>
            </w:pPr>
            <w:r>
              <w:rPr/>
              <w:t>§ 314(a)</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4.2, 10.5</w:t>
            </w:r>
          </w:p>
        </w:tc>
      </w:tr>
      <w:tr>
        <w:trPr/>
        <w:tc>
          <w:tcPr>
            <w:tcW w:w="1085" w:type="dxa"/>
            <w:tcBorders/>
            <w:shd w:fill="CCEEFF" w:val="clear"/>
            <w:vAlign w:val="center"/>
          </w:tcPr>
          <w:p>
            <w:pPr>
              <w:pStyle w:val="TableContents"/>
              <w:bidi w:val="0"/>
              <w:spacing w:before="0" w:after="0"/>
              <w:jc w:val="right"/>
              <w:rPr/>
            </w:pPr>
            <w:r>
              <w:rPr/>
              <w:t>(b)</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Not Applicable</w:t>
            </w:r>
          </w:p>
        </w:tc>
      </w:tr>
      <w:tr>
        <w:trPr/>
        <w:tc>
          <w:tcPr>
            <w:tcW w:w="1085" w:type="dxa"/>
            <w:tcBorders/>
            <w:vAlign w:val="center"/>
          </w:tcPr>
          <w:p>
            <w:pPr>
              <w:pStyle w:val="TableContents"/>
              <w:bidi w:val="0"/>
              <w:spacing w:before="0" w:after="0"/>
              <w:jc w:val="right"/>
              <w:rPr/>
            </w:pPr>
            <w:r>
              <w:rPr/>
              <w:t>(c)(1)</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10.4</w:t>
            </w:r>
          </w:p>
        </w:tc>
      </w:tr>
      <w:tr>
        <w:trPr/>
        <w:tc>
          <w:tcPr>
            <w:tcW w:w="1085" w:type="dxa"/>
            <w:tcBorders/>
            <w:shd w:fill="CCEEFF" w:val="clear"/>
            <w:vAlign w:val="center"/>
          </w:tcPr>
          <w:p>
            <w:pPr>
              <w:pStyle w:val="TableContents"/>
              <w:bidi w:val="0"/>
              <w:spacing w:before="0" w:after="0"/>
              <w:jc w:val="right"/>
              <w:rPr/>
            </w:pPr>
            <w:r>
              <w:rPr/>
              <w:t>(c)(2)</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10.4</w:t>
            </w:r>
          </w:p>
        </w:tc>
      </w:tr>
      <w:tr>
        <w:trPr/>
        <w:tc>
          <w:tcPr>
            <w:tcW w:w="1085" w:type="dxa"/>
            <w:tcBorders/>
            <w:vAlign w:val="center"/>
          </w:tcPr>
          <w:p>
            <w:pPr>
              <w:pStyle w:val="TableContents"/>
              <w:bidi w:val="0"/>
              <w:spacing w:before="0" w:after="0"/>
              <w:jc w:val="right"/>
              <w:rPr/>
            </w:pPr>
            <w:r>
              <w:rPr/>
              <w:t>(c)(3)</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Not Applicable</w:t>
            </w:r>
          </w:p>
        </w:tc>
      </w:tr>
      <w:tr>
        <w:trPr/>
        <w:tc>
          <w:tcPr>
            <w:tcW w:w="1085" w:type="dxa"/>
            <w:tcBorders/>
            <w:shd w:fill="CCEEFF" w:val="clear"/>
            <w:vAlign w:val="center"/>
          </w:tcPr>
          <w:p>
            <w:pPr>
              <w:pStyle w:val="TableContents"/>
              <w:bidi w:val="0"/>
              <w:spacing w:before="0" w:after="0"/>
              <w:jc w:val="right"/>
              <w:rPr/>
            </w:pPr>
            <w:r>
              <w:rPr/>
              <w:t>(d)</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Not Applicable</w:t>
            </w:r>
          </w:p>
        </w:tc>
      </w:tr>
      <w:tr>
        <w:trPr/>
        <w:tc>
          <w:tcPr>
            <w:tcW w:w="1085" w:type="dxa"/>
            <w:tcBorders/>
            <w:vAlign w:val="center"/>
          </w:tcPr>
          <w:p>
            <w:pPr>
              <w:pStyle w:val="TableContents"/>
              <w:bidi w:val="0"/>
              <w:spacing w:before="0" w:after="0"/>
              <w:jc w:val="right"/>
              <w:rPr/>
            </w:pPr>
            <w:r>
              <w:rPr/>
              <w:t>(e)</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10.5</w:t>
            </w:r>
          </w:p>
        </w:tc>
      </w:tr>
      <w:tr>
        <w:trPr/>
        <w:tc>
          <w:tcPr>
            <w:tcW w:w="1085" w:type="dxa"/>
            <w:tcBorders/>
            <w:shd w:fill="CCEEFF" w:val="clear"/>
            <w:vAlign w:val="center"/>
          </w:tcPr>
          <w:p>
            <w:pPr>
              <w:pStyle w:val="TableContents"/>
              <w:bidi w:val="0"/>
              <w:spacing w:before="0" w:after="0"/>
              <w:jc w:val="right"/>
              <w:rPr/>
            </w:pPr>
            <w:r>
              <w:rPr/>
              <w:t>(f)</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Not Applicable</w:t>
            </w:r>
          </w:p>
        </w:tc>
      </w:tr>
      <w:tr>
        <w:trPr/>
        <w:tc>
          <w:tcPr>
            <w:tcW w:w="1085" w:type="dxa"/>
            <w:tcBorders/>
            <w:vAlign w:val="center"/>
          </w:tcPr>
          <w:p>
            <w:pPr>
              <w:pStyle w:val="TableContents"/>
              <w:bidi w:val="0"/>
              <w:spacing w:before="0" w:after="0"/>
              <w:jc w:val="right"/>
              <w:rPr/>
            </w:pPr>
            <w:r>
              <w:rPr/>
              <w:t>§ 315(a)</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7.1</w:t>
            </w:r>
          </w:p>
        </w:tc>
      </w:tr>
      <w:tr>
        <w:trPr/>
        <w:tc>
          <w:tcPr>
            <w:tcW w:w="1085" w:type="dxa"/>
            <w:tcBorders/>
            <w:shd w:fill="CCEEFF" w:val="clear"/>
            <w:vAlign w:val="center"/>
          </w:tcPr>
          <w:p>
            <w:pPr>
              <w:pStyle w:val="TableContents"/>
              <w:bidi w:val="0"/>
              <w:spacing w:before="0" w:after="0"/>
              <w:jc w:val="right"/>
              <w:rPr/>
            </w:pPr>
            <w:r>
              <w:rPr/>
              <w:t>(b)</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7.5</w:t>
            </w:r>
          </w:p>
        </w:tc>
      </w:tr>
      <w:tr>
        <w:trPr/>
        <w:tc>
          <w:tcPr>
            <w:tcW w:w="1085" w:type="dxa"/>
            <w:tcBorders/>
            <w:vAlign w:val="center"/>
          </w:tcPr>
          <w:p>
            <w:pPr>
              <w:pStyle w:val="TableContents"/>
              <w:bidi w:val="0"/>
              <w:spacing w:before="0" w:after="0"/>
              <w:jc w:val="right"/>
              <w:rPr/>
            </w:pPr>
            <w:r>
              <w:rPr/>
              <w:t>(c)</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7.1</w:t>
            </w:r>
          </w:p>
        </w:tc>
      </w:tr>
      <w:tr>
        <w:trPr/>
        <w:tc>
          <w:tcPr>
            <w:tcW w:w="1085" w:type="dxa"/>
            <w:tcBorders/>
            <w:shd w:fill="CCEEFF" w:val="clear"/>
            <w:vAlign w:val="center"/>
          </w:tcPr>
          <w:p>
            <w:pPr>
              <w:pStyle w:val="TableContents"/>
              <w:bidi w:val="0"/>
              <w:spacing w:before="0" w:after="0"/>
              <w:jc w:val="right"/>
              <w:rPr/>
            </w:pPr>
            <w:r>
              <w:rPr/>
              <w:t>(d)</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7.1</w:t>
            </w:r>
          </w:p>
        </w:tc>
      </w:tr>
      <w:tr>
        <w:trPr/>
        <w:tc>
          <w:tcPr>
            <w:tcW w:w="1085" w:type="dxa"/>
            <w:tcBorders/>
            <w:vAlign w:val="center"/>
          </w:tcPr>
          <w:p>
            <w:pPr>
              <w:pStyle w:val="TableContents"/>
              <w:bidi w:val="0"/>
              <w:spacing w:before="0" w:after="0"/>
              <w:jc w:val="right"/>
              <w:rPr/>
            </w:pPr>
            <w:r>
              <w:rPr/>
              <w:t>(e)</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6.14</w:t>
            </w:r>
          </w:p>
        </w:tc>
      </w:tr>
      <w:tr>
        <w:trPr/>
        <w:tc>
          <w:tcPr>
            <w:tcW w:w="1085" w:type="dxa"/>
            <w:tcBorders/>
            <w:shd w:fill="CCEEFF" w:val="clear"/>
            <w:vAlign w:val="center"/>
          </w:tcPr>
          <w:p>
            <w:pPr>
              <w:pStyle w:val="TableContents"/>
              <w:bidi w:val="0"/>
              <w:spacing w:before="0" w:after="0"/>
              <w:jc w:val="right"/>
              <w:rPr/>
            </w:pPr>
            <w:r>
              <w:rPr/>
              <w:t>§ 316(a)</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2.10</w:t>
            </w:r>
          </w:p>
        </w:tc>
      </w:tr>
      <w:tr>
        <w:trPr/>
        <w:tc>
          <w:tcPr>
            <w:tcW w:w="1085" w:type="dxa"/>
            <w:tcBorders/>
            <w:vAlign w:val="center"/>
          </w:tcPr>
          <w:p>
            <w:pPr>
              <w:pStyle w:val="TableContents"/>
              <w:bidi w:val="0"/>
              <w:spacing w:before="0" w:after="0"/>
              <w:jc w:val="right"/>
              <w:rPr/>
            </w:pPr>
            <w:r>
              <w:rPr/>
              <w:t>(a)(1)(A)</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6.12</w:t>
            </w:r>
          </w:p>
        </w:tc>
      </w:tr>
      <w:tr>
        <w:trPr/>
        <w:tc>
          <w:tcPr>
            <w:tcW w:w="1085" w:type="dxa"/>
            <w:tcBorders/>
            <w:shd w:fill="CCEEFF" w:val="clear"/>
            <w:vAlign w:val="center"/>
          </w:tcPr>
          <w:p>
            <w:pPr>
              <w:pStyle w:val="TableContents"/>
              <w:bidi w:val="0"/>
              <w:spacing w:before="0" w:after="0"/>
              <w:jc w:val="right"/>
              <w:rPr/>
            </w:pPr>
            <w:r>
              <w:rPr/>
              <w:t>(a)(1)(B)</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6.13</w:t>
            </w:r>
          </w:p>
        </w:tc>
      </w:tr>
      <w:tr>
        <w:trPr/>
        <w:tc>
          <w:tcPr>
            <w:tcW w:w="1085" w:type="dxa"/>
            <w:tcBorders/>
            <w:vAlign w:val="center"/>
          </w:tcPr>
          <w:p>
            <w:pPr>
              <w:pStyle w:val="TableContents"/>
              <w:bidi w:val="0"/>
              <w:spacing w:before="0" w:after="0"/>
              <w:jc w:val="right"/>
              <w:rPr/>
            </w:pPr>
            <w:r>
              <w:rPr/>
              <w:t>(b)</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6.8</w:t>
            </w:r>
          </w:p>
        </w:tc>
      </w:tr>
      <w:tr>
        <w:trPr/>
        <w:tc>
          <w:tcPr>
            <w:tcW w:w="1085" w:type="dxa"/>
            <w:tcBorders/>
            <w:shd w:fill="CCEEFF" w:val="clear"/>
            <w:vAlign w:val="center"/>
          </w:tcPr>
          <w:p>
            <w:pPr>
              <w:pStyle w:val="TableContents"/>
              <w:bidi w:val="0"/>
              <w:spacing w:before="0" w:after="0"/>
              <w:jc w:val="right"/>
              <w:rPr/>
            </w:pPr>
            <w:r>
              <w:rPr/>
              <w:t>§ 317(a)(1)</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6.3</w:t>
            </w:r>
          </w:p>
        </w:tc>
      </w:tr>
      <w:tr>
        <w:trPr/>
        <w:tc>
          <w:tcPr>
            <w:tcW w:w="1085" w:type="dxa"/>
            <w:tcBorders/>
            <w:vAlign w:val="center"/>
          </w:tcPr>
          <w:p>
            <w:pPr>
              <w:pStyle w:val="TableContents"/>
              <w:bidi w:val="0"/>
              <w:spacing w:before="0" w:after="0"/>
              <w:jc w:val="right"/>
              <w:rPr/>
            </w:pPr>
            <w:r>
              <w:rPr/>
              <w:t>(a)(2)</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6.4</w:t>
            </w:r>
          </w:p>
        </w:tc>
      </w:tr>
      <w:tr>
        <w:trPr/>
        <w:tc>
          <w:tcPr>
            <w:tcW w:w="1085" w:type="dxa"/>
            <w:tcBorders/>
            <w:shd w:fill="CCEEFF" w:val="clear"/>
            <w:vAlign w:val="center"/>
          </w:tcPr>
          <w:p>
            <w:pPr>
              <w:pStyle w:val="TableContents"/>
              <w:bidi w:val="0"/>
              <w:spacing w:before="0" w:after="0"/>
              <w:jc w:val="right"/>
              <w:rPr/>
            </w:pPr>
            <w:r>
              <w:rPr/>
              <w:t>(b)</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0"/>
              <w:jc w:val="left"/>
              <w:rPr/>
            </w:pPr>
            <w:r>
              <w:rPr/>
              <w:t>2.5</w:t>
            </w:r>
          </w:p>
        </w:tc>
      </w:tr>
      <w:tr>
        <w:trPr/>
        <w:tc>
          <w:tcPr>
            <w:tcW w:w="1085" w:type="dxa"/>
            <w:tcBorders/>
            <w:vAlign w:val="center"/>
          </w:tcPr>
          <w:p>
            <w:pPr>
              <w:pStyle w:val="TableContents"/>
              <w:bidi w:val="0"/>
              <w:spacing w:before="0" w:after="0"/>
              <w:jc w:val="right"/>
              <w:rPr/>
            </w:pPr>
            <w:r>
              <w:rPr/>
              <w:t>§ 318(a)</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t>10.1</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Note: This reconciliation and tie shall not, for any purpose, be deemed to be part of the Indenture.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both"/>
        <w:rPr>
          <w:rFonts w:ascii="Times New Roman" w:hAnsi="Times New Roman"/>
          <w:color w:val="000000"/>
          <w:sz w:val="20"/>
        </w:rPr>
      </w:pPr>
      <w:r>
        <w:rPr>
          <w:rFonts w:ascii="Times New Roman" w:hAnsi="Times New Roman"/>
          <w:color w:val="000000"/>
          <w:sz w:val="20"/>
        </w:rPr>
        <w:t>Indenture dated as of    , 20    between VirnetX Holding Corporation, a company incorporated under the laws of Delaware (the “</w:t>
      </w:r>
      <w:r>
        <w:rPr>
          <w:rFonts w:ascii="Times New Roman" w:hAnsi="Times New Roman"/>
          <w:i/>
          <w:color w:val="000000"/>
          <w:sz w:val="20"/>
        </w:rPr>
        <w:t>Company</w:t>
      </w:r>
      <w:r>
        <w:rPr>
          <w:rFonts w:ascii="Times New Roman" w:hAnsi="Times New Roman"/>
          <w:color w:val="000000"/>
          <w:sz w:val="20"/>
        </w:rPr>
        <w:t>”), and [__], a national banking association organized under the laws of the United States, as trustee (the “</w:t>
      </w:r>
      <w:r>
        <w:rPr>
          <w:rFonts w:ascii="Times New Roman" w:hAnsi="Times New Roman"/>
          <w:i/>
          <w:color w:val="000000"/>
          <w:sz w:val="20"/>
        </w:rPr>
        <w:t>Trustee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Each party agrees as follows for the benefit of the other party and for the equal and ratable benefit of the Holders of the Securities issued under this 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center"/>
        <w:rPr>
          <w:rFonts w:ascii="Times New Roman" w:hAnsi="Times New Roman"/>
          <w:b/>
          <w:color w:val="000000"/>
          <w:sz w:val="20"/>
        </w:rPr>
      </w:pPr>
      <w:bookmarkStart w:id="62" w:name="z_Toc41641728"/>
      <w:bookmarkStart w:id="63" w:name="z_Toc41642200"/>
      <w:bookmarkStart w:id="64" w:name="z_Toc113354592"/>
      <w:bookmarkStart w:id="65" w:name="z_Toc41642100"/>
      <w:bookmarkStart w:id="66" w:name="z_Toc256000000"/>
      <w:bookmarkEnd w:id="62"/>
      <w:bookmarkEnd w:id="63"/>
      <w:bookmarkEnd w:id="64"/>
      <w:bookmarkEnd w:id="65"/>
      <w:bookmarkEnd w:id="66"/>
      <w:r>
        <w:rPr>
          <w:rFonts w:ascii="Times New Roman" w:hAnsi="Times New Roman"/>
          <w:b/>
          <w:color w:val="000000"/>
          <w:sz w:val="20"/>
        </w:rPr>
        <w:t>DEFINITIONS AND INCORPORATION BY REFERENCE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67" w:name="z_Toc41641729"/>
      <w:bookmarkStart w:id="68" w:name="z_Toc41642101"/>
      <w:bookmarkStart w:id="69" w:name="z_Toc113354593"/>
      <w:bookmarkStart w:id="70" w:name="z_Toc41642201"/>
      <w:bookmarkStart w:id="71" w:name="z_Toc256000001"/>
      <w:bookmarkEnd w:id="67"/>
      <w:bookmarkEnd w:id="68"/>
      <w:bookmarkEnd w:id="69"/>
      <w:bookmarkEnd w:id="70"/>
      <w:bookmarkEnd w:id="71"/>
      <w:r>
        <w:rPr>
          <w:rFonts w:ascii="Times New Roman" w:hAnsi="Times New Roman"/>
          <w:color w:val="000000"/>
          <w:sz w:val="20"/>
        </w:rPr>
        <w:t xml:space="preserve">Section 1.1            </w:t>
      </w:r>
      <w:r>
        <w:rPr>
          <w:rFonts w:ascii="Times New Roman" w:hAnsi="Times New Roman"/>
          <w:color w:val="000000"/>
          <w:sz w:val="20"/>
          <w:u w:val="single"/>
        </w:rPr>
        <w:t>Definitions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Additional Amounts</w:t>
      </w:r>
      <w:r>
        <w:rPr>
          <w:rFonts w:ascii="Times New Roman" w:hAnsi="Times New Roman"/>
          <w:color w:val="000000"/>
          <w:sz w:val="20"/>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Affiliate</w:t>
      </w:r>
      <w:r>
        <w:rPr>
          <w:rFonts w:ascii="Times New Roman" w:hAnsi="Times New Roman"/>
          <w:color w:val="000000"/>
          <w:sz w:val="20"/>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Agent</w:t>
      </w:r>
      <w:r>
        <w:rPr>
          <w:rFonts w:ascii="Times New Roman" w:hAnsi="Times New Roman"/>
          <w:color w:val="000000"/>
          <w:sz w:val="20"/>
        </w:rPr>
        <w:t>” means any Registrar, Paying Agent or Notice Agent.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Board of Directors</w:t>
      </w:r>
      <w:r>
        <w:rPr>
          <w:rFonts w:ascii="Times New Roman" w:hAnsi="Times New Roman"/>
          <w:color w:val="000000"/>
          <w:sz w:val="20"/>
        </w:rPr>
        <w:t>” means the board of directors of the Company or any duly authorized committee thereof.</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Board Resolution</w:t>
      </w:r>
      <w:r>
        <w:rPr>
          <w:rFonts w:ascii="Times New Roman" w:hAnsi="Times New Roman"/>
          <w:color w:val="000000"/>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Business Day</w:t>
      </w:r>
      <w:r>
        <w:rPr>
          <w:rFonts w:ascii="Times New Roman" w:hAnsi="Times New Roman"/>
          <w:color w:val="000000"/>
          <w:sz w:val="20"/>
        </w:rPr>
        <w:t>” means, any day except a Saturday, Sunday or a Legal Holiday in The City of New York, New York (or in connection with any payment, the place of payment) on which banking institutions are authorized or required by law, regulation or executive order to close.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Capital Stock</w:t>
      </w:r>
      <w:r>
        <w:rPr>
          <w:rFonts w:ascii="Times New Roman" w:hAnsi="Times New Roman"/>
          <w:color w:val="000000"/>
          <w:sz w:val="20"/>
        </w:rPr>
        <w:t>” means any and all shares, interests, participations, rights or other equivalents (however designated) of corporate stock.</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Common Stock</w:t>
      </w:r>
      <w:r>
        <w:rPr>
          <w:rFonts w:ascii="Times New Roman" w:hAnsi="Times New Roman"/>
          <w:color w:val="000000"/>
          <w:sz w:val="20"/>
        </w:rPr>
        <w:t>” means the common stock, par value $0.0001 per share, of the Company.</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Company</w:t>
      </w:r>
      <w:r>
        <w:rPr>
          <w:rFonts w:ascii="Times New Roman" w:hAnsi="Times New Roman"/>
          <w:color w:val="000000"/>
          <w:sz w:val="20"/>
        </w:rPr>
        <w:t>” means the party named as such above until a successor replaces it and thereafter means the successor.</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Company Order</w:t>
      </w:r>
      <w:r>
        <w:rPr>
          <w:rFonts w:ascii="Times New Roman" w:hAnsi="Times New Roman"/>
          <w:color w:val="000000"/>
          <w:sz w:val="20"/>
        </w:rPr>
        <w:t>” means a written order signed in the name of the Company by an Officer.</w:t>
      </w:r>
    </w:p>
    <w:p>
      <w:pPr>
        <w:pStyle w:val="TextBody"/>
        <w:bidi w:val="0"/>
        <w:spacing w:before="0" w:after="0"/>
        <w:ind w:left="0" w:right="0" w:firstLine="90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Corporate Trust Office</w:t>
      </w:r>
      <w:r>
        <w:rPr>
          <w:rFonts w:ascii="Times New Roman" w:hAnsi="Times New Roman"/>
          <w:color w:val="000000"/>
          <w:sz w:val="20"/>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Default</w:t>
      </w:r>
      <w:r>
        <w:rPr>
          <w:rFonts w:ascii="Times New Roman" w:hAnsi="Times New Roman"/>
          <w:color w:val="000000"/>
          <w:sz w:val="20"/>
        </w:rPr>
        <w:t>” means any event which is, or after notice or passage of time or both would be, an Event of Default.</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Depositary</w:t>
      </w:r>
      <w:r>
        <w:rPr>
          <w:rFonts w:ascii="Times New Roman" w:hAnsi="Times New Roman"/>
          <w:color w:val="000000"/>
          <w:sz w:val="20"/>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Discount Security</w:t>
      </w:r>
      <w:r>
        <w:rPr>
          <w:rFonts w:ascii="Times New Roman" w:hAnsi="Times New Roman"/>
          <w:color w:val="000000"/>
          <w:sz w:val="20"/>
        </w:rPr>
        <w:t>” means any Security that provides for an amount less than the stated principal amount thereof to be due and payable upon declaration of acceleration of the maturity thereof pursuant to Section 6.2.</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Dollars</w:t>
      </w:r>
      <w:r>
        <w:rPr>
          <w:rFonts w:ascii="Times New Roman" w:hAnsi="Times New Roman"/>
          <w:color w:val="000000"/>
          <w:sz w:val="20"/>
        </w:rPr>
        <w:t>” and “</w:t>
      </w:r>
      <w:r>
        <w:rPr>
          <w:rFonts w:ascii="Times New Roman" w:hAnsi="Times New Roman"/>
          <w:i/>
          <w:color w:val="000000"/>
          <w:sz w:val="20"/>
        </w:rPr>
        <w:t>$</w:t>
      </w:r>
      <w:r>
        <w:rPr>
          <w:rFonts w:ascii="Times New Roman" w:hAnsi="Times New Roman"/>
          <w:color w:val="000000"/>
          <w:sz w:val="20"/>
        </w:rPr>
        <w:t>” means the currency of The United States of America.</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Exchange Act</w:t>
      </w:r>
      <w:r>
        <w:rPr>
          <w:rFonts w:ascii="Times New Roman" w:hAnsi="Times New Roman"/>
          <w:color w:val="000000"/>
          <w:sz w:val="20"/>
        </w:rPr>
        <w:t>” means the Securities Exchange Act of 1934, as amended.</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Foreign Currency</w:t>
      </w:r>
      <w:r>
        <w:rPr>
          <w:rFonts w:ascii="Times New Roman" w:hAnsi="Times New Roman"/>
          <w:color w:val="000000"/>
          <w:sz w:val="20"/>
        </w:rPr>
        <w:t>” means any currency or currency unit issued by a government other than the government of The United States of America.</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Foreign Government Obligations</w:t>
      </w:r>
      <w:r>
        <w:rPr>
          <w:rFonts w:ascii="Times New Roman" w:hAnsi="Times New Roman"/>
          <w:color w:val="000000"/>
          <w:sz w:val="20"/>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GAAP”</w:t>
      </w:r>
      <w:r>
        <w:rPr>
          <w:rFonts w:ascii="Times New Roman" w:hAnsi="Times New Roman"/>
          <w:color w:val="000000"/>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Global Security</w:t>
      </w:r>
      <w:r>
        <w:rPr>
          <w:rFonts w:ascii="Times New Roman" w:hAnsi="Times New Roman"/>
          <w:color w:val="000000"/>
          <w:sz w:val="20"/>
        </w:rPr>
        <w:t>” or “</w:t>
      </w:r>
      <w:r>
        <w:rPr>
          <w:rFonts w:ascii="Times New Roman" w:hAnsi="Times New Roman"/>
          <w:i/>
          <w:color w:val="000000"/>
          <w:sz w:val="20"/>
        </w:rPr>
        <w:t>Global Securities</w:t>
      </w:r>
      <w:r>
        <w:rPr>
          <w:rFonts w:ascii="Times New Roman" w:hAnsi="Times New Roman"/>
          <w:color w:val="000000"/>
          <w:sz w:val="20"/>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Holder</w:t>
      </w:r>
      <w:r>
        <w:rPr>
          <w:rFonts w:ascii="Times New Roman" w:hAnsi="Times New Roman"/>
          <w:color w:val="000000"/>
          <w:sz w:val="20"/>
        </w:rPr>
        <w:t>” or “</w:t>
      </w:r>
      <w:r>
        <w:rPr>
          <w:rFonts w:ascii="Times New Roman" w:hAnsi="Times New Roman"/>
          <w:i/>
          <w:color w:val="000000"/>
          <w:sz w:val="20"/>
        </w:rPr>
        <w:t>Securityholder</w:t>
      </w:r>
      <w:r>
        <w:rPr>
          <w:rFonts w:ascii="Times New Roman" w:hAnsi="Times New Roman"/>
          <w:color w:val="000000"/>
          <w:sz w:val="20"/>
        </w:rPr>
        <w:t>” means a person in whose name a Security is registered on the books of the Registrar.</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Indenture</w:t>
      </w:r>
      <w:r>
        <w:rPr>
          <w:rFonts w:ascii="Times New Roman" w:hAnsi="Times New Roman"/>
          <w:color w:val="000000"/>
          <w:sz w:val="20"/>
        </w:rPr>
        <w:t>” means this Indenture as amended or supplemented from time to time and shall include the form and terms of particular Series of Securities established as contemplated hereunder.</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interest</w:t>
      </w:r>
      <w:r>
        <w:rPr>
          <w:rFonts w:ascii="Times New Roman" w:hAnsi="Times New Roman"/>
          <w:color w:val="000000"/>
          <w:sz w:val="20"/>
        </w:rPr>
        <w:t>” with respect to any Discount Security which by its terms bears interest only after Maturity, means interest payable after Maturity.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Maturity</w:t>
      </w:r>
      <w:r>
        <w:rPr>
          <w:rFonts w:ascii="Times New Roman" w:hAnsi="Times New Roman"/>
          <w:color w:val="000000"/>
          <w:sz w:val="20"/>
        </w:rPr>
        <w:t>,” when used with respect to any Security, means the date on which the principal of such Security becomes due and payable as therein or herein provided, whether at the Stated Maturity or by declaration of acceleration, call for redemption or otherwise.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Officer</w:t>
      </w:r>
      <w:r>
        <w:rPr>
          <w:rFonts w:ascii="Times New Roman" w:hAnsi="Times New Roman"/>
          <w:color w:val="000000"/>
          <w:sz w:val="20"/>
        </w:rPr>
        <w:t>” means the Chief Executive Officer, President, the Chief Financial Officer, the Treasurer or any Assistant Treasurer, the Secretary or any Assistant Secretary, and any Vice President of the Company.</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Officer’s Certificate</w:t>
      </w:r>
      <w:r>
        <w:rPr>
          <w:rFonts w:ascii="Times New Roman" w:hAnsi="Times New Roman"/>
          <w:color w:val="000000"/>
          <w:sz w:val="20"/>
        </w:rPr>
        <w:t>” means a certificate signed by any Officer that meets the requirements of Section 10.5.</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Opinion of Counsel</w:t>
      </w:r>
      <w:r>
        <w:rPr>
          <w:rFonts w:ascii="Times New Roman" w:hAnsi="Times New Roman"/>
          <w:color w:val="000000"/>
          <w:sz w:val="20"/>
        </w:rPr>
        <w:t>” means a written opinion of legal counsel who is acceptable to the Trustee.  The opinion may contain customary limitations, qualifications, conditions and exceptions.  The counsel may be an employee of or counsel to the Company.</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person</w:t>
      </w:r>
      <w:r>
        <w:rPr>
          <w:rFonts w:ascii="Times New Roman" w:hAnsi="Times New Roman"/>
          <w:color w:val="000000"/>
          <w:sz w:val="20"/>
        </w:rPr>
        <w:t>” 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principal</w:t>
      </w:r>
      <w:r>
        <w:rPr>
          <w:rFonts w:ascii="Times New Roman" w:hAnsi="Times New Roman"/>
          <w:color w:val="000000"/>
          <w:sz w:val="20"/>
        </w:rPr>
        <w:t>” of a Security means the principal of the Security plus, when appropriate, the premium, if any, on, and any Additional Amounts in respect of, the Security.</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Responsible Officer</w:t>
      </w:r>
      <w:r>
        <w:rPr>
          <w:rFonts w:ascii="Times New Roman" w:hAnsi="Times New Roman"/>
          <w:color w:val="000000"/>
          <w:sz w:val="20"/>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SEC</w:t>
      </w:r>
      <w:r>
        <w:rPr>
          <w:rFonts w:ascii="Times New Roman" w:hAnsi="Times New Roman"/>
          <w:color w:val="000000"/>
          <w:sz w:val="20"/>
        </w:rPr>
        <w:t>” means the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Securities</w:t>
      </w:r>
      <w:r>
        <w:rPr>
          <w:rFonts w:ascii="Times New Roman" w:hAnsi="Times New Roman"/>
          <w:color w:val="000000"/>
          <w:sz w:val="20"/>
        </w:rPr>
        <w:t>” means the debentures, notes or other debt instruments of the Company of any Series authenticated and delivered under this Indenture.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Series</w:t>
      </w:r>
      <w:r>
        <w:rPr>
          <w:rFonts w:ascii="Times New Roman" w:hAnsi="Times New Roman"/>
          <w:color w:val="000000"/>
          <w:sz w:val="20"/>
        </w:rPr>
        <w:t>” or “</w:t>
      </w:r>
      <w:r>
        <w:rPr>
          <w:rFonts w:ascii="Times New Roman" w:hAnsi="Times New Roman"/>
          <w:i/>
          <w:color w:val="000000"/>
          <w:sz w:val="20"/>
        </w:rPr>
        <w:t>Series of Securities</w:t>
      </w:r>
      <w:r>
        <w:rPr>
          <w:rFonts w:ascii="Times New Roman" w:hAnsi="Times New Roman"/>
          <w:color w:val="000000"/>
          <w:sz w:val="20"/>
        </w:rPr>
        <w:t>” means each series of debentures, notes or other debt instruments of the Company created pursuant to Sections 2.1 and 2.2 hereof.</w:t>
      </w:r>
    </w:p>
    <w:p>
      <w:pPr>
        <w:pStyle w:val="TextBody"/>
        <w:bidi w:val="0"/>
        <w:spacing w:before="0" w:after="0"/>
        <w:jc w:val="left"/>
        <w:rPr>
          <w:color w:val="000000"/>
        </w:rPr>
      </w:pPr>
      <w:r>
        <w:rPr>
          <w:color w:val="000000"/>
        </w:rPr>
        <w:t> </w:t>
      </w:r>
    </w:p>
    <w:p>
      <w:pPr>
        <w:pStyle w:val="TextBody"/>
        <w:bidi w:val="0"/>
        <w:spacing w:before="0" w:after="0"/>
        <w:ind w:left="0" w:right="0" w:firstLine="979"/>
        <w:jc w:val="left"/>
        <w:rPr>
          <w:color w:val="000000"/>
        </w:rPr>
      </w:pPr>
      <w:r>
        <w:rPr>
          <w:color w:val="000000"/>
        </w:rPr>
        <w:t>“</w:t>
      </w:r>
      <w:r>
        <w:rPr>
          <w:rFonts w:ascii="Times New Roman" w:hAnsi="Times New Roman"/>
          <w:i/>
          <w:color w:val="000000"/>
          <w:sz w:val="20"/>
        </w:rPr>
        <w:t>Stated Maturity</w:t>
      </w:r>
      <w:r>
        <w:rPr>
          <w:rFonts w:ascii="Times New Roman" w:hAnsi="Times New Roman"/>
          <w:color w:val="000000"/>
          <w:sz w:val="20"/>
        </w:rPr>
        <w:t>” when used with respect to any Security, means the date specified in such Security as the fixed date on which the principal of such Security or interest is due and payable.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Subsidiary</w:t>
      </w:r>
      <w:r>
        <w:rPr>
          <w:rFonts w:ascii="Times New Roman" w:hAnsi="Times New Roman"/>
          <w:color w:val="000000"/>
          <w:sz w:val="20"/>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TIA</w:t>
      </w:r>
      <w:r>
        <w:rPr>
          <w:rFonts w:ascii="Times New Roman" w:hAnsi="Times New Roman"/>
          <w:color w:val="000000"/>
          <w:sz w:val="20"/>
        </w:rPr>
        <w:t xml:space="preserve">” means the Trust Indenture Act of 1939 (15 U.S. Code §§ 77aaa-77bbbb) as in effect on the date of this Indenture;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the Trust Indenture Act of 1939 is amended after such date, “TIA” means, to the extent required by any such amendment, the Trust Indenture Act as so amended.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Trustee</w:t>
      </w:r>
      <w:r>
        <w:rPr>
          <w:rFonts w:ascii="Times New Roman" w:hAnsi="Times New Roman"/>
          <w:color w:val="000000"/>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U.S. Government Obligations</w:t>
      </w:r>
      <w:r>
        <w:rPr>
          <w:rFonts w:ascii="Times New Roman" w:hAnsi="Times New Roman"/>
          <w:color w:val="000000"/>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hAnsi="Times New Roman"/>
          <w:i/>
          <w:color w:val="000000"/>
          <w:sz w:val="20"/>
        </w:rPr>
        <w:t>provided</w:t>
      </w:r>
      <w:r>
        <w:rPr>
          <w:rFonts w:ascii="Times New Roman" w:hAnsi="Times New Roman"/>
          <w:color w:val="000000"/>
          <w:sz w:val="20"/>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72" w:name="z_Toc41641730"/>
      <w:bookmarkStart w:id="73" w:name="z_Toc41642202"/>
      <w:bookmarkStart w:id="74" w:name="z_Toc41642102"/>
      <w:bookmarkStart w:id="75" w:name="z_Toc113354594"/>
      <w:bookmarkStart w:id="76" w:name="z_Toc256000002"/>
      <w:bookmarkEnd w:id="72"/>
      <w:bookmarkEnd w:id="73"/>
      <w:bookmarkEnd w:id="74"/>
      <w:bookmarkEnd w:id="75"/>
      <w:bookmarkEnd w:id="76"/>
      <w:r>
        <w:rPr>
          <w:rFonts w:ascii="Times New Roman" w:hAnsi="Times New Roman"/>
          <w:color w:val="000000"/>
          <w:sz w:val="20"/>
        </w:rPr>
        <w:t xml:space="preserve">Section 1.2            </w:t>
      </w:r>
      <w:r>
        <w:rPr>
          <w:rFonts w:ascii="Times New Roman" w:hAnsi="Times New Roman"/>
          <w:color w:val="000000"/>
          <w:sz w:val="20"/>
          <w:u w:val="single"/>
        </w:rPr>
        <w:t>Other Definitions</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0730825deed247bf87e6dfd922bc69dd"/>
      <w:bookmarkStart w:id="78" w:name="z0730825deed247bf87e6dfd922bc69dd"/>
      <w:bookmarkEnd w:id="78"/>
    </w:p>
    <w:tbl>
      <w:tblPr>
        <w:tblW w:w="5890" w:type="dxa"/>
        <w:jc w:val="center"/>
        <w:tblInd w:w="0" w:type="dxa"/>
        <w:tblLayout w:type="fixed"/>
        <w:tblCellMar>
          <w:top w:w="0" w:type="dxa"/>
          <w:left w:w="0" w:type="dxa"/>
          <w:bottom w:w="28" w:type="dxa"/>
          <w:right w:w="0" w:type="dxa"/>
        </w:tblCellMar>
      </w:tblPr>
      <w:tblGrid>
        <w:gridCol w:w="3350"/>
        <w:gridCol w:w="60"/>
        <w:gridCol w:w="2480"/>
      </w:tblGrid>
      <w:tr>
        <w:trPr/>
        <w:tc>
          <w:tcPr>
            <w:tcW w:w="3350" w:type="dxa"/>
            <w:tcBorders>
              <w:bottom w:val="single" w:sz="12" w:space="0" w:color="000000"/>
            </w:tcBorders>
            <w:vAlign w:val="center"/>
          </w:tcPr>
          <w:p>
            <w:pPr>
              <w:pStyle w:val="TableContents"/>
              <w:bidi w:val="0"/>
              <w:spacing w:before="0" w:after="0"/>
              <w:jc w:val="center"/>
              <w:rPr/>
            </w:pPr>
            <w:r>
              <w:rPr/>
              <w:t>TERM</w:t>
            </w:r>
          </w:p>
        </w:tc>
        <w:tc>
          <w:tcPr>
            <w:tcW w:w="60" w:type="dxa"/>
            <w:tcBorders/>
            <w:tcMar>
              <w:bottom w:w="0" w:type="dxa"/>
            </w:tcMar>
            <w:vAlign w:val="center"/>
          </w:tcPr>
          <w:p>
            <w:pPr>
              <w:pStyle w:val="TableContents"/>
              <w:bidi w:val="0"/>
              <w:spacing w:before="0" w:after="283"/>
              <w:jc w:val="left"/>
              <w:rPr/>
            </w:pPr>
            <w:r>
              <w:rPr/>
              <w:t> </w:t>
            </w:r>
          </w:p>
        </w:tc>
        <w:tc>
          <w:tcPr>
            <w:tcW w:w="2480" w:type="dxa"/>
            <w:tcBorders>
              <w:bottom w:val="single" w:sz="12" w:space="0" w:color="000000"/>
            </w:tcBorders>
            <w:vAlign w:val="center"/>
          </w:tcPr>
          <w:p>
            <w:pPr>
              <w:pStyle w:val="TableContents"/>
              <w:bidi w:val="0"/>
              <w:spacing w:before="0" w:after="0"/>
              <w:jc w:val="center"/>
              <w:rPr/>
            </w:pPr>
            <w:r>
              <w:rPr/>
              <w:t>DEFINED IN SECTION</w:t>
            </w:r>
          </w:p>
        </w:tc>
      </w:tr>
      <w:tr>
        <w:trPr/>
        <w:tc>
          <w:tcPr>
            <w:tcW w:w="3350" w:type="dxa"/>
            <w:tcBorders/>
            <w:shd w:fill="CCEEFF" w:val="clear"/>
            <w:tcMar>
              <w:bottom w:w="0" w:type="dxa"/>
            </w:tcMar>
            <w:vAlign w:val="center"/>
          </w:tcPr>
          <w:p>
            <w:pPr>
              <w:pStyle w:val="TableContents"/>
              <w:bidi w:val="0"/>
              <w:spacing w:before="0" w:after="0"/>
              <w:jc w:val="left"/>
              <w:rPr/>
            </w:pPr>
            <w:r>
              <w:rPr/>
              <w:t>“</w:t>
            </w:r>
            <w:r>
              <w:rPr>
                <w:i/>
              </w:rPr>
              <w:t>Bankruptcy Law</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0" w:type="dxa"/>
            <w:tcBorders/>
            <w:shd w:fill="CCEEFF" w:val="clear"/>
            <w:tcMar>
              <w:bottom w:w="0" w:type="dxa"/>
            </w:tcMar>
            <w:vAlign w:val="center"/>
          </w:tcPr>
          <w:p>
            <w:pPr>
              <w:pStyle w:val="TableContents"/>
              <w:bidi w:val="0"/>
              <w:spacing w:before="0" w:after="0"/>
              <w:jc w:val="center"/>
              <w:rPr/>
            </w:pPr>
            <w:r>
              <w:rPr/>
              <w:t>6.1</w:t>
            </w:r>
          </w:p>
        </w:tc>
      </w:tr>
      <w:tr>
        <w:trPr/>
        <w:tc>
          <w:tcPr>
            <w:tcW w:w="3350" w:type="dxa"/>
            <w:tcBorders/>
            <w:tcMar>
              <w:bottom w:w="0" w:type="dxa"/>
            </w:tcMar>
            <w:vAlign w:val="center"/>
          </w:tcPr>
          <w:p>
            <w:pPr>
              <w:pStyle w:val="TableContents"/>
              <w:bidi w:val="0"/>
              <w:spacing w:before="0" w:after="0"/>
              <w:jc w:val="left"/>
              <w:rPr/>
            </w:pPr>
            <w:r>
              <w:rPr/>
              <w:t>“</w:t>
            </w:r>
            <w:r>
              <w:rPr>
                <w:i/>
              </w:rPr>
              <w:t>Custodian</w:t>
            </w:r>
            <w:r>
              <w:rPr/>
              <w:t>”</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0"/>
              <w:jc w:val="center"/>
              <w:rPr/>
            </w:pPr>
            <w:r>
              <w:rPr/>
              <w:t>6.1</w:t>
            </w:r>
          </w:p>
        </w:tc>
      </w:tr>
      <w:tr>
        <w:trPr/>
        <w:tc>
          <w:tcPr>
            <w:tcW w:w="3350" w:type="dxa"/>
            <w:tcBorders/>
            <w:shd w:fill="CCEEFF" w:val="clear"/>
            <w:tcMar>
              <w:bottom w:w="0" w:type="dxa"/>
            </w:tcMar>
            <w:vAlign w:val="center"/>
          </w:tcPr>
          <w:p>
            <w:pPr>
              <w:pStyle w:val="TableContents"/>
              <w:bidi w:val="0"/>
              <w:spacing w:before="0" w:after="0"/>
              <w:jc w:val="left"/>
              <w:rPr/>
            </w:pPr>
            <w:r>
              <w:rPr/>
              <w:t>“</w:t>
            </w:r>
            <w:r>
              <w:rPr>
                <w:i/>
              </w:rPr>
              <w:t>Event of Default</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0" w:type="dxa"/>
            <w:tcBorders/>
            <w:shd w:fill="CCEEFF" w:val="clear"/>
            <w:tcMar>
              <w:bottom w:w="0" w:type="dxa"/>
            </w:tcMar>
            <w:vAlign w:val="center"/>
          </w:tcPr>
          <w:p>
            <w:pPr>
              <w:pStyle w:val="TableContents"/>
              <w:bidi w:val="0"/>
              <w:spacing w:before="0" w:after="0"/>
              <w:jc w:val="center"/>
              <w:rPr/>
            </w:pPr>
            <w:r>
              <w:rPr/>
              <w:t>6.1</w:t>
            </w:r>
          </w:p>
        </w:tc>
      </w:tr>
      <w:tr>
        <w:trPr/>
        <w:tc>
          <w:tcPr>
            <w:tcW w:w="3350" w:type="dxa"/>
            <w:tcBorders/>
            <w:tcMar>
              <w:bottom w:w="0" w:type="dxa"/>
            </w:tcMar>
            <w:vAlign w:val="center"/>
          </w:tcPr>
          <w:p>
            <w:pPr>
              <w:pStyle w:val="TableContents"/>
              <w:bidi w:val="0"/>
              <w:spacing w:before="0" w:after="0"/>
              <w:jc w:val="left"/>
              <w:rPr/>
            </w:pPr>
            <w:r>
              <w:rPr/>
              <w:t>“</w:t>
            </w:r>
            <w:r>
              <w:rPr>
                <w:i/>
              </w:rPr>
              <w:t>Judgment Currency</w:t>
            </w:r>
            <w:r>
              <w:rPr/>
              <w:t>”</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0"/>
              <w:jc w:val="center"/>
              <w:rPr/>
            </w:pPr>
            <w:r>
              <w:rPr/>
              <w:t>10.16</w:t>
            </w:r>
          </w:p>
        </w:tc>
      </w:tr>
      <w:tr>
        <w:trPr/>
        <w:tc>
          <w:tcPr>
            <w:tcW w:w="3350" w:type="dxa"/>
            <w:tcBorders/>
            <w:shd w:fill="CCEEFF" w:val="clear"/>
            <w:tcMar>
              <w:bottom w:w="0" w:type="dxa"/>
            </w:tcMar>
            <w:vAlign w:val="center"/>
          </w:tcPr>
          <w:p>
            <w:pPr>
              <w:pStyle w:val="TableContents"/>
              <w:bidi w:val="0"/>
              <w:spacing w:before="0" w:after="0"/>
              <w:jc w:val="left"/>
              <w:rPr/>
            </w:pPr>
            <w:r>
              <w:rPr/>
              <w:t>“</w:t>
            </w:r>
            <w:r>
              <w:rPr>
                <w:i/>
              </w:rPr>
              <w:t>Legal Holiday</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0" w:type="dxa"/>
            <w:tcBorders/>
            <w:shd w:fill="CCEEFF" w:val="clear"/>
            <w:tcMar>
              <w:bottom w:w="0" w:type="dxa"/>
            </w:tcMar>
            <w:vAlign w:val="center"/>
          </w:tcPr>
          <w:p>
            <w:pPr>
              <w:pStyle w:val="TableContents"/>
              <w:bidi w:val="0"/>
              <w:spacing w:before="0" w:after="0"/>
              <w:jc w:val="center"/>
              <w:rPr/>
            </w:pPr>
            <w:r>
              <w:rPr/>
              <w:t>10.7</w:t>
            </w:r>
          </w:p>
        </w:tc>
      </w:tr>
      <w:tr>
        <w:trPr/>
        <w:tc>
          <w:tcPr>
            <w:tcW w:w="3350" w:type="dxa"/>
            <w:tcBorders/>
            <w:tcMar>
              <w:bottom w:w="0" w:type="dxa"/>
            </w:tcMar>
            <w:vAlign w:val="center"/>
          </w:tcPr>
          <w:p>
            <w:pPr>
              <w:pStyle w:val="TableContents"/>
              <w:bidi w:val="0"/>
              <w:spacing w:before="0" w:after="0"/>
              <w:jc w:val="left"/>
              <w:rPr/>
            </w:pPr>
            <w:r>
              <w:rPr/>
              <w:t>“</w:t>
            </w:r>
            <w:r>
              <w:rPr>
                <w:i/>
              </w:rPr>
              <w:t>mandatory sinking fund payment</w:t>
            </w:r>
            <w:r>
              <w:rPr/>
              <w:t>”</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0"/>
              <w:jc w:val="center"/>
              <w:rPr/>
            </w:pPr>
            <w:r>
              <w:rPr/>
              <w:t>11.1</w:t>
            </w:r>
          </w:p>
        </w:tc>
      </w:tr>
      <w:tr>
        <w:trPr/>
        <w:tc>
          <w:tcPr>
            <w:tcW w:w="3350" w:type="dxa"/>
            <w:tcBorders/>
            <w:shd w:fill="CCEEFF" w:val="clear"/>
            <w:tcMar>
              <w:bottom w:w="0" w:type="dxa"/>
            </w:tcMar>
            <w:vAlign w:val="center"/>
          </w:tcPr>
          <w:p>
            <w:pPr>
              <w:pStyle w:val="TableContents"/>
              <w:bidi w:val="0"/>
              <w:spacing w:before="0" w:after="0"/>
              <w:jc w:val="left"/>
              <w:rPr/>
            </w:pPr>
            <w:r>
              <w:rPr/>
              <w:t>“</w:t>
            </w:r>
            <w:r>
              <w:rPr>
                <w:i/>
              </w:rPr>
              <w:t>New York Banking Day</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0" w:type="dxa"/>
            <w:tcBorders/>
            <w:shd w:fill="CCEEFF" w:val="clear"/>
            <w:tcMar>
              <w:bottom w:w="0" w:type="dxa"/>
            </w:tcMar>
            <w:vAlign w:val="center"/>
          </w:tcPr>
          <w:p>
            <w:pPr>
              <w:pStyle w:val="TableContents"/>
              <w:bidi w:val="0"/>
              <w:spacing w:before="0" w:after="0"/>
              <w:jc w:val="center"/>
              <w:rPr/>
            </w:pPr>
            <w:r>
              <w:rPr/>
              <w:t>10.16</w:t>
            </w:r>
          </w:p>
        </w:tc>
      </w:tr>
      <w:tr>
        <w:trPr/>
        <w:tc>
          <w:tcPr>
            <w:tcW w:w="3350" w:type="dxa"/>
            <w:tcBorders/>
            <w:tcMar>
              <w:bottom w:w="0" w:type="dxa"/>
            </w:tcMar>
            <w:vAlign w:val="center"/>
          </w:tcPr>
          <w:p>
            <w:pPr>
              <w:pStyle w:val="TableContents"/>
              <w:bidi w:val="0"/>
              <w:spacing w:before="0" w:after="0"/>
              <w:jc w:val="left"/>
              <w:rPr/>
            </w:pPr>
            <w:r>
              <w:rPr/>
              <w:t>“</w:t>
            </w:r>
            <w:r>
              <w:rPr>
                <w:i/>
              </w:rPr>
              <w:t>Notice Agent</w:t>
            </w:r>
            <w:r>
              <w:rPr/>
              <w:t>”</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0"/>
              <w:jc w:val="center"/>
              <w:rPr/>
            </w:pPr>
            <w:r>
              <w:rPr/>
              <w:t>2.4</w:t>
            </w:r>
          </w:p>
        </w:tc>
      </w:tr>
      <w:tr>
        <w:trPr/>
        <w:tc>
          <w:tcPr>
            <w:tcW w:w="3350" w:type="dxa"/>
            <w:tcBorders/>
            <w:shd w:fill="CCEEFF" w:val="clear"/>
            <w:tcMar>
              <w:bottom w:w="0" w:type="dxa"/>
            </w:tcMar>
            <w:vAlign w:val="center"/>
          </w:tcPr>
          <w:p>
            <w:pPr>
              <w:pStyle w:val="TableContents"/>
              <w:bidi w:val="0"/>
              <w:spacing w:before="0" w:after="0"/>
              <w:jc w:val="left"/>
              <w:rPr/>
            </w:pPr>
            <w:r>
              <w:rPr/>
              <w:t>“</w:t>
            </w:r>
            <w:r>
              <w:rPr>
                <w:i/>
              </w:rPr>
              <w:t>optional sinking fund payment</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0" w:type="dxa"/>
            <w:tcBorders/>
            <w:shd w:fill="CCEEFF" w:val="clear"/>
            <w:tcMar>
              <w:bottom w:w="0" w:type="dxa"/>
            </w:tcMar>
            <w:vAlign w:val="center"/>
          </w:tcPr>
          <w:p>
            <w:pPr>
              <w:pStyle w:val="TableContents"/>
              <w:bidi w:val="0"/>
              <w:spacing w:before="0" w:after="0"/>
              <w:jc w:val="center"/>
              <w:rPr/>
            </w:pPr>
            <w:r>
              <w:rPr/>
              <w:t>11.1</w:t>
            </w:r>
          </w:p>
        </w:tc>
      </w:tr>
      <w:tr>
        <w:trPr/>
        <w:tc>
          <w:tcPr>
            <w:tcW w:w="3350" w:type="dxa"/>
            <w:tcBorders/>
            <w:tcMar>
              <w:bottom w:w="0" w:type="dxa"/>
            </w:tcMar>
            <w:vAlign w:val="center"/>
          </w:tcPr>
          <w:p>
            <w:pPr>
              <w:pStyle w:val="TableContents"/>
              <w:bidi w:val="0"/>
              <w:spacing w:before="0" w:after="0"/>
              <w:jc w:val="left"/>
              <w:rPr/>
            </w:pPr>
            <w:r>
              <w:rPr/>
              <w:t>“</w:t>
            </w:r>
            <w:r>
              <w:rPr>
                <w:i/>
              </w:rPr>
              <w:t>Paying Agent</w:t>
            </w:r>
            <w:r>
              <w:rPr/>
              <w:t>”</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0"/>
              <w:jc w:val="center"/>
              <w:rPr/>
            </w:pPr>
            <w:r>
              <w:rPr/>
              <w:t>2.4</w:t>
            </w:r>
          </w:p>
        </w:tc>
      </w:tr>
      <w:tr>
        <w:trPr/>
        <w:tc>
          <w:tcPr>
            <w:tcW w:w="3350" w:type="dxa"/>
            <w:tcBorders/>
            <w:shd w:fill="CCEEFF" w:val="clear"/>
            <w:tcMar>
              <w:bottom w:w="0" w:type="dxa"/>
            </w:tcMar>
            <w:vAlign w:val="center"/>
          </w:tcPr>
          <w:p>
            <w:pPr>
              <w:pStyle w:val="TableContents"/>
              <w:bidi w:val="0"/>
              <w:spacing w:before="0" w:after="0"/>
              <w:jc w:val="left"/>
              <w:rPr/>
            </w:pPr>
            <w:r>
              <w:rPr/>
              <w:t>“</w:t>
            </w:r>
            <w:r>
              <w:rPr>
                <w:i/>
              </w:rPr>
              <w:t>Registrar</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0" w:type="dxa"/>
            <w:tcBorders/>
            <w:shd w:fill="CCEEFF" w:val="clear"/>
            <w:tcMar>
              <w:bottom w:w="0" w:type="dxa"/>
            </w:tcMar>
            <w:vAlign w:val="center"/>
          </w:tcPr>
          <w:p>
            <w:pPr>
              <w:pStyle w:val="TableContents"/>
              <w:bidi w:val="0"/>
              <w:spacing w:before="0" w:after="0"/>
              <w:jc w:val="center"/>
              <w:rPr/>
            </w:pPr>
            <w:r>
              <w:rPr/>
              <w:t>2.4</w:t>
            </w:r>
          </w:p>
        </w:tc>
      </w:tr>
      <w:tr>
        <w:trPr/>
        <w:tc>
          <w:tcPr>
            <w:tcW w:w="3350" w:type="dxa"/>
            <w:tcBorders/>
            <w:tcMar>
              <w:bottom w:w="0" w:type="dxa"/>
            </w:tcMar>
            <w:vAlign w:val="center"/>
          </w:tcPr>
          <w:p>
            <w:pPr>
              <w:pStyle w:val="TableContents"/>
              <w:bidi w:val="0"/>
              <w:spacing w:before="0" w:after="0"/>
              <w:jc w:val="left"/>
              <w:rPr/>
            </w:pPr>
            <w:r>
              <w:rPr/>
              <w:t>“</w:t>
            </w:r>
            <w:r>
              <w:rPr>
                <w:i/>
              </w:rPr>
              <w:t>Required Currency</w:t>
            </w:r>
            <w:r>
              <w:rPr/>
              <w:t>”</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0"/>
              <w:jc w:val="center"/>
              <w:rPr/>
            </w:pPr>
            <w:r>
              <w:rPr/>
              <w:t>10.16</w:t>
            </w:r>
          </w:p>
        </w:tc>
      </w:tr>
      <w:tr>
        <w:trPr/>
        <w:tc>
          <w:tcPr>
            <w:tcW w:w="3350" w:type="dxa"/>
            <w:tcBorders/>
            <w:shd w:fill="CCEEFF" w:val="clear"/>
            <w:tcMar>
              <w:bottom w:w="0" w:type="dxa"/>
            </w:tcMar>
            <w:vAlign w:val="center"/>
          </w:tcPr>
          <w:p>
            <w:pPr>
              <w:pStyle w:val="TableContents"/>
              <w:bidi w:val="0"/>
              <w:spacing w:before="0" w:after="0"/>
              <w:jc w:val="left"/>
              <w:rPr/>
            </w:pPr>
            <w:r>
              <w:rPr/>
              <w:t>“</w:t>
            </w:r>
            <w:r>
              <w:rPr>
                <w:i/>
              </w:rPr>
              <w:t>Specified Courts</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0" w:type="dxa"/>
            <w:tcBorders/>
            <w:shd w:fill="CCEEFF" w:val="clear"/>
            <w:tcMar>
              <w:bottom w:w="0" w:type="dxa"/>
            </w:tcMar>
            <w:vAlign w:val="center"/>
          </w:tcPr>
          <w:p>
            <w:pPr>
              <w:pStyle w:val="TableContents"/>
              <w:bidi w:val="0"/>
              <w:spacing w:before="0" w:after="0"/>
              <w:jc w:val="center"/>
              <w:rPr/>
            </w:pPr>
            <w:r>
              <w:rPr/>
              <w:t>10.10</w:t>
            </w:r>
          </w:p>
        </w:tc>
      </w:tr>
      <w:tr>
        <w:trPr/>
        <w:tc>
          <w:tcPr>
            <w:tcW w:w="3350" w:type="dxa"/>
            <w:tcBorders/>
            <w:tcMar>
              <w:bottom w:w="0" w:type="dxa"/>
            </w:tcMar>
            <w:vAlign w:val="center"/>
          </w:tcPr>
          <w:p>
            <w:pPr>
              <w:pStyle w:val="TableContents"/>
              <w:bidi w:val="0"/>
              <w:spacing w:before="0" w:after="0"/>
              <w:jc w:val="left"/>
              <w:rPr/>
            </w:pPr>
            <w:r>
              <w:rPr/>
              <w:t>“</w:t>
            </w:r>
            <w:r>
              <w:rPr>
                <w:i/>
              </w:rPr>
              <w:t>successor person</w:t>
            </w:r>
            <w:r>
              <w:rPr/>
              <w:t>”</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0"/>
              <w:jc w:val="center"/>
              <w:rPr/>
            </w:pPr>
            <w:r>
              <w:rPr/>
              <w:t>5.1</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79" w:name="z_Toc41641731"/>
      <w:bookmarkStart w:id="80" w:name="z_Toc41642103"/>
      <w:bookmarkStart w:id="81" w:name="z_Toc113354595"/>
      <w:bookmarkStart w:id="82" w:name="z_Toc41642203"/>
      <w:bookmarkStart w:id="83" w:name="z_Toc256000003"/>
      <w:bookmarkEnd w:id="79"/>
      <w:bookmarkEnd w:id="80"/>
      <w:bookmarkEnd w:id="81"/>
      <w:bookmarkEnd w:id="82"/>
      <w:bookmarkEnd w:id="83"/>
      <w:r>
        <w:rPr>
          <w:rFonts w:ascii="Times New Roman" w:hAnsi="Times New Roman"/>
          <w:color w:val="000000"/>
          <w:sz w:val="20"/>
        </w:rPr>
        <w:t xml:space="preserve">Section 1.3            </w:t>
      </w:r>
      <w:r>
        <w:rPr>
          <w:rFonts w:ascii="Times New Roman" w:hAnsi="Times New Roman"/>
          <w:color w:val="000000"/>
          <w:sz w:val="20"/>
          <w:u w:val="single"/>
        </w:rPr>
        <w:t>Incorporation by Reference of Trust Indenture Act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Commission</w:t>
      </w:r>
      <w:r>
        <w:rPr>
          <w:rFonts w:ascii="Times New Roman" w:hAnsi="Times New Roman"/>
          <w:color w:val="000000"/>
          <w:sz w:val="20"/>
        </w:rPr>
        <w:t>” means the SEC.</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indenture securities</w:t>
      </w:r>
      <w:r>
        <w:rPr>
          <w:rFonts w:ascii="Times New Roman" w:hAnsi="Times New Roman"/>
          <w:color w:val="000000"/>
          <w:sz w:val="20"/>
        </w:rPr>
        <w:t>” means the Securities.</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indenture security holder</w:t>
      </w:r>
      <w:r>
        <w:rPr>
          <w:rFonts w:ascii="Times New Roman" w:hAnsi="Times New Roman"/>
          <w:color w:val="000000"/>
          <w:sz w:val="20"/>
        </w:rPr>
        <w:t>” means a Securityholder.</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indenture to be qualified”</w:t>
      </w:r>
      <w:r>
        <w:rPr>
          <w:rFonts w:ascii="Times New Roman" w:hAnsi="Times New Roman"/>
          <w:color w:val="000000"/>
          <w:sz w:val="20"/>
        </w:rPr>
        <w:t xml:space="preserve"> means this Indenture.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indenture trustee</w:t>
      </w:r>
      <w:r>
        <w:rPr>
          <w:rFonts w:ascii="Times New Roman" w:hAnsi="Times New Roman"/>
          <w:color w:val="000000"/>
          <w:sz w:val="20"/>
        </w:rPr>
        <w:t>” or “</w:t>
      </w:r>
      <w:r>
        <w:rPr>
          <w:rFonts w:ascii="Times New Roman" w:hAnsi="Times New Roman"/>
          <w:i/>
          <w:color w:val="000000"/>
          <w:sz w:val="20"/>
        </w:rPr>
        <w:t>institutional trustee</w:t>
      </w:r>
      <w:r>
        <w:rPr>
          <w:rFonts w:ascii="Times New Roman" w:hAnsi="Times New Roman"/>
          <w:color w:val="000000"/>
          <w:sz w:val="20"/>
        </w:rPr>
        <w:t>” means the Trustee.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obligor</w:t>
      </w:r>
      <w:r>
        <w:rPr>
          <w:rFonts w:ascii="Times New Roman" w:hAnsi="Times New Roman"/>
          <w:color w:val="000000"/>
          <w:sz w:val="20"/>
        </w:rPr>
        <w:t>” on the indenture securities means the Company and any successor obligor upon the Securities.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84" w:name="z_Toc41641732"/>
      <w:bookmarkStart w:id="85" w:name="z_Toc41642104"/>
      <w:bookmarkStart w:id="86" w:name="z_Toc41642204"/>
      <w:bookmarkStart w:id="87" w:name="z_Toc113354596"/>
      <w:bookmarkStart w:id="88" w:name="z_Toc256000004"/>
      <w:bookmarkEnd w:id="84"/>
      <w:bookmarkEnd w:id="85"/>
      <w:bookmarkEnd w:id="86"/>
      <w:bookmarkEnd w:id="87"/>
      <w:bookmarkEnd w:id="88"/>
      <w:r>
        <w:rPr>
          <w:rFonts w:ascii="Times New Roman" w:hAnsi="Times New Roman"/>
          <w:color w:val="000000"/>
          <w:sz w:val="20"/>
        </w:rPr>
        <w:t xml:space="preserve">Section 1.4            </w:t>
      </w:r>
      <w:r>
        <w:rPr>
          <w:rFonts w:ascii="Times New Roman" w:hAnsi="Times New Roman"/>
          <w:color w:val="000000"/>
          <w:sz w:val="20"/>
          <w:u w:val="single"/>
        </w:rPr>
        <w:t>Rules of Construction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Unless the context otherwise requires: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a term has the meaning assigned to it;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an accounting term not otherwise defined has the meaning assigned to it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w:t>
      </w:r>
      <w:r>
        <w:rPr>
          <w:rFonts w:ascii="Times New Roman" w:hAnsi="Times New Roman"/>
          <w:i/>
          <w:color w:val="000000"/>
          <w:sz w:val="20"/>
        </w:rPr>
        <w:t>or</w:t>
      </w:r>
      <w:r>
        <w:rPr>
          <w:rFonts w:ascii="Times New Roman" w:hAnsi="Times New Roman"/>
          <w:color w:val="000000"/>
          <w:sz w:val="20"/>
        </w:rPr>
        <w:t>” is not exclusive;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words in the singular include the plural, and in the plural include the singular;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provisions apply to successive events and transactions.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0"/>
        <w:jc w:val="center"/>
        <w:rPr>
          <w:rFonts w:ascii="Times New Roman" w:hAnsi="Times New Roman"/>
          <w:b/>
          <w:color w:val="000000"/>
          <w:sz w:val="20"/>
        </w:rPr>
      </w:pPr>
      <w:bookmarkStart w:id="89" w:name="z_Toc41641733"/>
      <w:bookmarkStart w:id="90" w:name="z_Toc41642205"/>
      <w:bookmarkStart w:id="91" w:name="z_Toc41642105"/>
      <w:bookmarkStart w:id="92" w:name="z_Toc113354597"/>
      <w:bookmarkStart w:id="93" w:name="z_Toc256000005"/>
      <w:bookmarkEnd w:id="89"/>
      <w:bookmarkEnd w:id="90"/>
      <w:bookmarkEnd w:id="91"/>
      <w:bookmarkEnd w:id="92"/>
      <w:bookmarkEnd w:id="93"/>
      <w:r>
        <w:rPr>
          <w:rFonts w:ascii="Times New Roman" w:hAnsi="Times New Roman"/>
          <w:b/>
          <w:color w:val="000000"/>
          <w:sz w:val="20"/>
        </w:rPr>
        <w:t>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94" w:name="z_Toc41641734"/>
      <w:bookmarkStart w:id="95" w:name="z_Toc41642106"/>
      <w:bookmarkStart w:id="96" w:name="z_Toc113354598"/>
      <w:bookmarkStart w:id="97" w:name="z_Toc41642206"/>
      <w:bookmarkStart w:id="98" w:name="z_Toc256000006"/>
      <w:bookmarkEnd w:id="94"/>
      <w:bookmarkEnd w:id="95"/>
      <w:bookmarkEnd w:id="96"/>
      <w:bookmarkEnd w:id="97"/>
      <w:bookmarkEnd w:id="98"/>
      <w:r>
        <w:rPr>
          <w:rFonts w:ascii="Times New Roman" w:hAnsi="Times New Roman"/>
          <w:color w:val="000000"/>
          <w:sz w:val="20"/>
        </w:rPr>
        <w:t xml:space="preserve">Section 2.1           </w:t>
      </w:r>
      <w:r>
        <w:rPr>
          <w:rFonts w:ascii="Times New Roman" w:hAnsi="Times New Roman"/>
          <w:color w:val="000000"/>
          <w:sz w:val="20"/>
          <w:u w:val="single"/>
        </w:rPr>
        <w:t>Issuable in Series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99" w:name="z_Toc41641735"/>
      <w:bookmarkStart w:id="100" w:name="z_Toc41642107"/>
      <w:bookmarkStart w:id="101" w:name="z_Toc113354599"/>
      <w:bookmarkStart w:id="102" w:name="z_Toc41642207"/>
      <w:bookmarkStart w:id="103" w:name="z_Toc256000007"/>
      <w:bookmarkEnd w:id="99"/>
      <w:bookmarkEnd w:id="100"/>
      <w:bookmarkEnd w:id="101"/>
      <w:bookmarkEnd w:id="102"/>
      <w:bookmarkEnd w:id="103"/>
      <w:r>
        <w:rPr>
          <w:rFonts w:ascii="Times New Roman" w:hAnsi="Times New Roman"/>
          <w:color w:val="000000"/>
          <w:sz w:val="20"/>
        </w:rPr>
        <w:t xml:space="preserve">Section 2.2           </w:t>
      </w:r>
      <w:r>
        <w:rPr>
          <w:rFonts w:ascii="Times New Roman" w:hAnsi="Times New Roman"/>
          <w:color w:val="000000"/>
          <w:sz w:val="20"/>
          <w:u w:val="single"/>
        </w:rPr>
        <w:t>Establishment of Terms of Series of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hereto or Officer’s Certificate: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                 the title (which shall distinguish the Securities of that particular Series from the Securities of any other Series) and ranking (including the terms of any subordination provisions) of the Series;</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2.2.2.                 the price or prices (expressed as a percentage of the principal amount thereof) at which the Securities of the Series will be issued;</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pStyle w:val="TextBody"/>
        <w:bidi w:val="0"/>
        <w:spacing w:before="0" w:after="0"/>
        <w:ind w:left="0" w:right="0" w:firstLine="90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2.2.4.                 the date or dates on which the principal of the Securities of the Series is payable;</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2.2.6.                 the right, if any, to defer payment of interest and the maximum length of any such deferral period;</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2.2.7.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2.2.8.                 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2.2.10.               if other than denominations of $1,000 and any integral multiple thereof, the denominations in which the Securities of the Series shall be issuable;</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 conversion or exchange provisions, the applicable conversion or exchange period and the manner of settlement for any such conversion or exchange;</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2.2.12.               the forms of the Securities of the Series and whether the Securities will be issuable as certificated Securities or Global Securities;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2.2.13.               if other than the principal amount thereof, the portion of the principal amount of the Securities of the Series that shall be payable upon declaration of acceleration of the maturity thereof pursuant to Section 6.2;</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2.2.14.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w:t>
      </w:r>
    </w:p>
    <w:p>
      <w:pPr>
        <w:pStyle w:val="TextBody"/>
        <w:bidi w:val="0"/>
        <w:spacing w:before="0" w:after="0"/>
        <w:ind w:left="0" w:right="0" w:firstLine="90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2.2.15.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2.2.16.              the provisions, if any, relating to any security provided for the Securities of the Series;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2.2.17.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2.2.18.               any Depositaries, interest rate calculation agents, exchange rate calculation agents, conversion agents or other agents with respect to Securities of such Series if other than those appointed herein;</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2.2.19.               if there is more than one Trustee or a different Trustee, the identity of the Trustee and, if not the Trustee, the identity of each Agent with respect to such Securities;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2.2.21.               whether any of the Company’s direct or indirect Subsidiaries will guarantee the Securities of that Series, including the terms of subordination, if any, of such guarantees.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04" w:name="z_Toc41641736"/>
      <w:bookmarkStart w:id="105" w:name="z_Toc41642108"/>
      <w:bookmarkStart w:id="106" w:name="z_Toc113354600"/>
      <w:bookmarkStart w:id="107" w:name="z_Toc41642208"/>
      <w:bookmarkStart w:id="108" w:name="z_Toc256000008"/>
      <w:bookmarkEnd w:id="104"/>
      <w:bookmarkEnd w:id="105"/>
      <w:bookmarkEnd w:id="106"/>
      <w:bookmarkEnd w:id="107"/>
      <w:bookmarkEnd w:id="108"/>
      <w:r>
        <w:rPr>
          <w:rFonts w:ascii="Times New Roman" w:hAnsi="Times New Roman"/>
          <w:color w:val="000000"/>
          <w:sz w:val="20"/>
        </w:rPr>
        <w:t xml:space="preserve">Section 2.3            </w:t>
      </w:r>
      <w:r>
        <w:rPr>
          <w:rFonts w:ascii="Times New Roman" w:hAnsi="Times New Roman"/>
          <w:color w:val="000000"/>
          <w:sz w:val="20"/>
          <w:u w:val="single"/>
        </w:rPr>
        <w:t>Execution and Authentication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An Officer shall sign the Securities for the Company by manual or facsimile signature.</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an Officer whose signature is on a Security no longer holds that office at the time the Security is authenticated, the Security shall nevertheless be valid.</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pStyle w:val="TextBody"/>
        <w:bidi w:val="0"/>
        <w:spacing w:before="0" w:after="0"/>
        <w:ind w:left="0" w:right="0" w:firstLine="90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09" w:name="z_Toc41641737"/>
      <w:bookmarkStart w:id="110" w:name="z_Toc41642209"/>
      <w:bookmarkStart w:id="111" w:name="z_Toc41642109"/>
      <w:bookmarkStart w:id="112" w:name="z_Toc113354601"/>
      <w:bookmarkStart w:id="113" w:name="z_Toc256000009"/>
      <w:bookmarkEnd w:id="109"/>
      <w:bookmarkEnd w:id="110"/>
      <w:bookmarkEnd w:id="111"/>
      <w:bookmarkEnd w:id="112"/>
      <w:bookmarkEnd w:id="113"/>
      <w:r>
        <w:rPr>
          <w:rFonts w:ascii="Times New Roman" w:hAnsi="Times New Roman"/>
          <w:color w:val="000000"/>
          <w:sz w:val="20"/>
        </w:rPr>
        <w:t xml:space="preserve">Section 2.4            </w:t>
      </w:r>
      <w:r>
        <w:rPr>
          <w:rFonts w:ascii="Times New Roman" w:hAnsi="Times New Roman"/>
          <w:color w:val="000000"/>
          <w:sz w:val="20"/>
          <w:u w:val="single"/>
        </w:rPr>
        <w:t>Registrar and Paying Agent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color w:val="000000"/>
          <w:sz w:val="20"/>
        </w:rPr>
        <w:t>Paying Agent</w:t>
      </w:r>
      <w:r>
        <w:rPr>
          <w:rFonts w:ascii="Times New Roman" w:hAnsi="Times New Roman"/>
          <w:color w:val="000000"/>
          <w:sz w:val="20"/>
        </w:rPr>
        <w:t>”), where Securities of such Series may be surrendered for registration of transfer or exchange (“</w:t>
      </w:r>
      <w:r>
        <w:rPr>
          <w:rFonts w:ascii="Times New Roman" w:hAnsi="Times New Roman"/>
          <w:i/>
          <w:color w:val="000000"/>
          <w:sz w:val="20"/>
        </w:rPr>
        <w:t>Registrar</w:t>
      </w:r>
      <w:r>
        <w:rPr>
          <w:rFonts w:ascii="Times New Roman" w:hAnsi="Times New Roman"/>
          <w:color w:val="000000"/>
          <w:sz w:val="20"/>
        </w:rPr>
        <w:t>”) and where notices and demands to or upon the Company in respect of the Securities of such Series and this Indenture may be delivered (“</w:t>
      </w:r>
      <w:r>
        <w:rPr>
          <w:rFonts w:ascii="Times New Roman" w:hAnsi="Times New Roman"/>
          <w:i/>
          <w:color w:val="000000"/>
          <w:sz w:val="20"/>
        </w:rPr>
        <w:t>Notice Agent</w:t>
      </w:r>
      <w:r>
        <w:rPr>
          <w:rFonts w:ascii="Times New Roman" w:hAnsi="Times New Roman"/>
          <w:color w:val="000000"/>
          <w:sz w:val="20"/>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any appointment of the Trustee as the Notice Agent shall exclude the appointment of the Trustee or any office of the Trustee as an agent to receive the service of legal process on the Company.</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The Company may also from time to time designate one or more co-registrars, additional paying agents or additional notice agents and may from time to time rescind such designations;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color w:val="000000"/>
          <w:sz w:val="20"/>
        </w:rPr>
        <w:t>Registrar</w:t>
      </w:r>
      <w:r>
        <w:rPr>
          <w:rFonts w:ascii="Times New Roman" w:hAnsi="Times New Roman"/>
          <w:color w:val="000000"/>
          <w:sz w:val="20"/>
        </w:rPr>
        <w:t>” includes any co-registrar; the term “</w:t>
      </w:r>
      <w:r>
        <w:rPr>
          <w:rFonts w:ascii="Times New Roman" w:hAnsi="Times New Roman"/>
          <w:i/>
          <w:color w:val="000000"/>
          <w:sz w:val="20"/>
        </w:rPr>
        <w:t>Paying Agent</w:t>
      </w:r>
      <w:r>
        <w:rPr>
          <w:rFonts w:ascii="Times New Roman" w:hAnsi="Times New Roman"/>
          <w:color w:val="000000"/>
          <w:sz w:val="20"/>
        </w:rPr>
        <w:t>” includes any additional paying agent; and the term “</w:t>
      </w:r>
      <w:r>
        <w:rPr>
          <w:rFonts w:ascii="Times New Roman" w:hAnsi="Times New Roman"/>
          <w:i/>
          <w:color w:val="000000"/>
          <w:sz w:val="20"/>
        </w:rPr>
        <w:t>Notice Agent</w:t>
      </w:r>
      <w:r>
        <w:rPr>
          <w:rFonts w:ascii="Times New Roman" w:hAnsi="Times New Roman"/>
          <w:color w:val="000000"/>
          <w:sz w:val="20"/>
        </w:rPr>
        <w:t>” includes any additional notice agent.  The Company or any of its Affiliates may serve as Registrar or Paying Agent.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14" w:name="z_Toc41641738"/>
      <w:bookmarkStart w:id="115" w:name="z_Toc41642210"/>
      <w:bookmarkStart w:id="116" w:name="z_Toc41642110"/>
      <w:bookmarkStart w:id="117" w:name="z_Toc113354602"/>
      <w:bookmarkStart w:id="118" w:name="z_Toc256000010"/>
      <w:bookmarkEnd w:id="114"/>
      <w:bookmarkEnd w:id="115"/>
      <w:bookmarkEnd w:id="116"/>
      <w:bookmarkEnd w:id="117"/>
      <w:bookmarkEnd w:id="118"/>
      <w:r>
        <w:rPr>
          <w:rFonts w:ascii="Times New Roman" w:hAnsi="Times New Roman"/>
          <w:color w:val="000000"/>
          <w:sz w:val="20"/>
        </w:rPr>
        <w:t xml:space="preserve">Section 2.5            </w:t>
      </w:r>
      <w:r>
        <w:rPr>
          <w:rFonts w:ascii="Times New Roman" w:hAnsi="Times New Roman"/>
          <w:color w:val="000000"/>
          <w:sz w:val="20"/>
          <w:u w:val="single"/>
        </w:rPr>
        <w:t>Paying Agent to Hold Money in Trust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19" w:name="z_Toc41641739"/>
      <w:bookmarkStart w:id="120" w:name="z_Toc41642211"/>
      <w:bookmarkStart w:id="121" w:name="z_Toc41642111"/>
      <w:bookmarkStart w:id="122" w:name="z_Toc113354603"/>
      <w:bookmarkStart w:id="123" w:name="z_Toc256000011"/>
      <w:bookmarkEnd w:id="119"/>
      <w:bookmarkEnd w:id="120"/>
      <w:bookmarkEnd w:id="121"/>
      <w:bookmarkEnd w:id="122"/>
      <w:bookmarkEnd w:id="123"/>
      <w:r>
        <w:rPr>
          <w:rFonts w:ascii="Times New Roman" w:hAnsi="Times New Roman"/>
          <w:color w:val="000000"/>
          <w:sz w:val="20"/>
        </w:rPr>
        <w:t xml:space="preserve">Section 2.6            </w:t>
      </w:r>
      <w:r>
        <w:rPr>
          <w:rFonts w:ascii="Times New Roman" w:hAnsi="Times New Roman"/>
          <w:color w:val="000000"/>
          <w:sz w:val="20"/>
          <w:u w:val="single"/>
        </w:rPr>
        <w:t>Securityholder Lists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24" w:name="z_Toc41641740"/>
      <w:bookmarkStart w:id="125" w:name="z_Toc41642212"/>
      <w:bookmarkStart w:id="126" w:name="z_Toc113354604"/>
      <w:bookmarkStart w:id="127" w:name="z_Toc41642112"/>
      <w:bookmarkStart w:id="128" w:name="z_Toc256000012"/>
      <w:bookmarkEnd w:id="124"/>
      <w:bookmarkEnd w:id="125"/>
      <w:bookmarkEnd w:id="126"/>
      <w:bookmarkEnd w:id="127"/>
      <w:bookmarkEnd w:id="128"/>
      <w:r>
        <w:rPr>
          <w:rFonts w:ascii="Times New Roman" w:hAnsi="Times New Roman"/>
          <w:color w:val="000000"/>
          <w:sz w:val="20"/>
        </w:rPr>
        <w:t xml:space="preserve">Section 2.7           </w:t>
      </w:r>
      <w:r>
        <w:rPr>
          <w:rFonts w:ascii="Times New Roman" w:hAnsi="Times New Roman"/>
          <w:color w:val="000000"/>
          <w:sz w:val="20"/>
          <w:u w:val="single"/>
        </w:rPr>
        <w:t>Transfer and Exchange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bookmarkStart w:id="129" w:name="z_Toc41641741"/>
      <w:bookmarkStart w:id="130" w:name="z_Toc41642113"/>
      <w:bookmarkStart w:id="131" w:name="z_Toc113354605"/>
      <w:bookmarkStart w:id="132" w:name="z_Toc41642213"/>
      <w:bookmarkStart w:id="133" w:name="z_Toc256000013"/>
      <w:bookmarkEnd w:id="129"/>
      <w:bookmarkEnd w:id="130"/>
      <w:bookmarkEnd w:id="131"/>
      <w:bookmarkEnd w:id="132"/>
      <w:bookmarkEnd w:id="133"/>
      <w:r>
        <w:rPr>
          <w:rFonts w:ascii="Times New Roman" w:hAnsi="Times New Roman"/>
          <w:color w:val="000000"/>
          <w:sz w:val="20"/>
        </w:rPr>
        <w:t xml:space="preserve">Section 2.8            </w:t>
      </w:r>
      <w:r>
        <w:rPr>
          <w:rFonts w:ascii="Times New Roman" w:hAnsi="Times New Roman"/>
          <w:color w:val="000000"/>
          <w:sz w:val="20"/>
          <w:u w:val="single"/>
        </w:rPr>
        <w:t>Mutilated, Destroyed, Lost and Stolen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34" w:name="z_Toc41641742"/>
      <w:bookmarkStart w:id="135" w:name="z_Toc41642114"/>
      <w:bookmarkStart w:id="136" w:name="z_Toc113354606"/>
      <w:bookmarkStart w:id="137" w:name="z_Toc41642214"/>
      <w:bookmarkStart w:id="138" w:name="z_Toc256000014"/>
      <w:bookmarkEnd w:id="134"/>
      <w:bookmarkEnd w:id="135"/>
      <w:bookmarkEnd w:id="136"/>
      <w:bookmarkEnd w:id="137"/>
      <w:bookmarkEnd w:id="138"/>
      <w:r>
        <w:rPr>
          <w:rFonts w:ascii="Times New Roman" w:hAnsi="Times New Roman"/>
          <w:color w:val="000000"/>
          <w:sz w:val="20"/>
        </w:rPr>
        <w:t xml:space="preserve">Section 2.9            </w:t>
      </w:r>
      <w:r>
        <w:rPr>
          <w:rFonts w:ascii="Times New Roman" w:hAnsi="Times New Roman"/>
          <w:color w:val="000000"/>
          <w:sz w:val="20"/>
          <w:u w:val="single"/>
        </w:rPr>
        <w:t>Outstanding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a Security is replaced pursuant to Section 2.8, it ceases to be outstanding until the Trustee receives proof satisfactory to it that the replaced Security is held by a bona fide purchaser.</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39" w:name="z_Toc41641743"/>
      <w:bookmarkStart w:id="140" w:name="z_Toc41642115"/>
      <w:bookmarkStart w:id="141" w:name="z_Toc113354607"/>
      <w:bookmarkStart w:id="142" w:name="z_Toc41642215"/>
      <w:bookmarkStart w:id="143" w:name="z_Toc256000015"/>
      <w:bookmarkEnd w:id="139"/>
      <w:bookmarkEnd w:id="140"/>
      <w:bookmarkEnd w:id="141"/>
      <w:bookmarkEnd w:id="142"/>
      <w:bookmarkEnd w:id="143"/>
      <w:r>
        <w:rPr>
          <w:rFonts w:ascii="Times New Roman" w:hAnsi="Times New Roman"/>
          <w:color w:val="000000"/>
          <w:sz w:val="20"/>
        </w:rPr>
        <w:t xml:space="preserve">Section 2.10         </w:t>
      </w:r>
      <w:r>
        <w:rPr>
          <w:rFonts w:ascii="Times New Roman" w:hAnsi="Times New Roman"/>
          <w:color w:val="000000"/>
          <w:sz w:val="20"/>
          <w:u w:val="single"/>
        </w:rPr>
        <w:t>Treasury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44" w:name="z_Toc41641744"/>
      <w:bookmarkStart w:id="145" w:name="z_Toc41642116"/>
      <w:bookmarkStart w:id="146" w:name="z_Toc113354608"/>
      <w:bookmarkStart w:id="147" w:name="z_Toc41642216"/>
      <w:bookmarkStart w:id="148" w:name="z_Toc256000016"/>
      <w:bookmarkEnd w:id="144"/>
      <w:bookmarkEnd w:id="145"/>
      <w:bookmarkEnd w:id="146"/>
      <w:bookmarkEnd w:id="147"/>
      <w:bookmarkEnd w:id="148"/>
      <w:r>
        <w:rPr>
          <w:rFonts w:ascii="Times New Roman" w:hAnsi="Times New Roman"/>
          <w:color w:val="000000"/>
          <w:sz w:val="20"/>
        </w:rPr>
        <w:t xml:space="preserve">Section 2.11         </w:t>
      </w:r>
      <w:r>
        <w:rPr>
          <w:rFonts w:ascii="Times New Roman" w:hAnsi="Times New Roman"/>
          <w:color w:val="000000"/>
          <w:sz w:val="20"/>
          <w:u w:val="single"/>
        </w:rPr>
        <w:t>Temporary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49" w:name="z_Toc41641745"/>
      <w:bookmarkStart w:id="150" w:name="z_Toc41642117"/>
      <w:bookmarkStart w:id="151" w:name="z_Toc113354609"/>
      <w:bookmarkStart w:id="152" w:name="z_Toc41642217"/>
      <w:bookmarkStart w:id="153" w:name="z_Toc256000017"/>
      <w:bookmarkEnd w:id="149"/>
      <w:bookmarkEnd w:id="150"/>
      <w:bookmarkEnd w:id="151"/>
      <w:bookmarkEnd w:id="152"/>
      <w:bookmarkEnd w:id="153"/>
      <w:r>
        <w:rPr>
          <w:rFonts w:ascii="Times New Roman" w:hAnsi="Times New Roman"/>
          <w:color w:val="000000"/>
          <w:sz w:val="20"/>
        </w:rPr>
        <w:t xml:space="preserve">Section 2.12         </w:t>
      </w:r>
      <w:r>
        <w:rPr>
          <w:rFonts w:ascii="Times New Roman" w:hAnsi="Times New Roman"/>
          <w:color w:val="000000"/>
          <w:sz w:val="20"/>
          <w:u w:val="single"/>
        </w:rPr>
        <w:t>Cancellation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54" w:name="z_Toc41641746"/>
      <w:bookmarkStart w:id="155" w:name="z_Toc41642118"/>
      <w:bookmarkStart w:id="156" w:name="z_Toc113354610"/>
      <w:bookmarkStart w:id="157" w:name="z_Toc41642218"/>
      <w:bookmarkStart w:id="158" w:name="z_Toc256000018"/>
      <w:bookmarkEnd w:id="154"/>
      <w:bookmarkEnd w:id="155"/>
      <w:bookmarkEnd w:id="156"/>
      <w:bookmarkEnd w:id="157"/>
      <w:bookmarkEnd w:id="158"/>
      <w:r>
        <w:rPr>
          <w:rFonts w:ascii="Times New Roman" w:hAnsi="Times New Roman"/>
          <w:color w:val="000000"/>
          <w:sz w:val="20"/>
        </w:rPr>
        <w:t>Section 2.13          </w:t>
      </w:r>
      <w:r>
        <w:rPr>
          <w:rFonts w:ascii="Times New Roman" w:hAnsi="Times New Roman"/>
          <w:color w:val="000000"/>
          <w:sz w:val="20"/>
          <w:u w:val="single"/>
        </w:rPr>
        <w:t>Defaulted Interest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59" w:name="z_Toc41641747"/>
      <w:bookmarkStart w:id="160" w:name="z_Toc41642219"/>
      <w:bookmarkStart w:id="161" w:name="z_Toc41642119"/>
      <w:bookmarkStart w:id="162" w:name="z_Toc113354611"/>
      <w:bookmarkStart w:id="163" w:name="z_Toc256000019"/>
      <w:bookmarkEnd w:id="159"/>
      <w:bookmarkEnd w:id="160"/>
      <w:bookmarkEnd w:id="161"/>
      <w:bookmarkEnd w:id="162"/>
      <w:bookmarkEnd w:id="163"/>
      <w:r>
        <w:rPr>
          <w:rFonts w:ascii="Times New Roman" w:hAnsi="Times New Roman"/>
          <w:color w:val="000000"/>
          <w:sz w:val="20"/>
        </w:rPr>
        <w:t xml:space="preserve">Section 2.14         </w:t>
      </w:r>
      <w:r>
        <w:rPr>
          <w:rFonts w:ascii="Times New Roman" w:hAnsi="Times New Roman"/>
          <w:color w:val="000000"/>
          <w:sz w:val="20"/>
          <w:u w:val="single"/>
        </w:rPr>
        <w:t>Global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2.14.1.               </w:t>
      </w:r>
      <w:r>
        <w:rPr>
          <w:rFonts w:ascii="Times New Roman" w:hAnsi="Times New Roman"/>
          <w:color w:val="000000"/>
          <w:sz w:val="20"/>
          <w:u w:val="single"/>
        </w:rPr>
        <w:t>Terms of Securities</w:t>
      </w:r>
      <w:r>
        <w:rPr>
          <w:rFonts w:ascii="Times New Roman" w:hAnsi="Times New Roman"/>
          <w:color w:val="000000"/>
          <w:sz w:val="20"/>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2.14.2.               </w:t>
      </w:r>
      <w:r>
        <w:rPr>
          <w:rFonts w:ascii="Times New Roman" w:hAnsi="Times New Roman"/>
          <w:color w:val="000000"/>
          <w:sz w:val="20"/>
          <w:u w:val="single"/>
        </w:rPr>
        <w:t>Transfer and Exchange</w:t>
      </w:r>
      <w:r>
        <w:rPr>
          <w:rFonts w:ascii="Times New Roman" w:hAnsi="Times New Roman"/>
          <w:color w:val="000000"/>
          <w:sz w:val="20"/>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Neither the Trustee nor any Agent shall have any responsibility for any actions taken or not taken by the Depositary.</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2.14.3.               </w:t>
      </w:r>
      <w:r>
        <w:rPr>
          <w:rFonts w:ascii="Times New Roman" w:hAnsi="Times New Roman"/>
          <w:color w:val="000000"/>
          <w:sz w:val="20"/>
          <w:u w:val="single"/>
        </w:rPr>
        <w:t>Legends</w:t>
      </w:r>
      <w:r>
        <w:rPr>
          <w:rFonts w:ascii="Times New Roman" w:hAnsi="Times New Roman"/>
          <w:color w:val="000000"/>
          <w:sz w:val="20"/>
        </w:rPr>
        <w:t>.  Any Global Security issued hereunder shall bear a legend in substantially the following form:</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color w:val="000000"/>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addition, so long as the Depository Trust Company (“</w:t>
      </w:r>
      <w:r>
        <w:rPr>
          <w:rFonts w:ascii="Times New Roman" w:hAnsi="Times New Roman"/>
          <w:i/>
          <w:color w:val="000000"/>
          <w:sz w:val="20"/>
        </w:rPr>
        <w:t>DTC</w:t>
      </w:r>
      <w:r>
        <w:rPr>
          <w:rFonts w:ascii="Times New Roman" w:hAnsi="Times New Roman"/>
          <w:color w:val="000000"/>
          <w:sz w:val="20"/>
        </w:rPr>
        <w:t>”) is the Depositary, each Global Note registered in the name of DTC or its nominee shall bear a legend in substantially the following form:</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color w:val="000000"/>
          <w:sz w:val="20"/>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2.14.4.               </w:t>
      </w:r>
      <w:r>
        <w:rPr>
          <w:rFonts w:ascii="Times New Roman" w:hAnsi="Times New Roman"/>
          <w:color w:val="000000"/>
          <w:sz w:val="20"/>
          <w:u w:val="single"/>
        </w:rPr>
        <w:t>Acts of Holders</w:t>
      </w:r>
      <w:r>
        <w:rPr>
          <w:rFonts w:ascii="Times New Roman" w:hAnsi="Times New Roman"/>
          <w:color w:val="000000"/>
          <w:sz w:val="20"/>
        </w:rPr>
        <w:t>.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ownership of Global Securities or any Securities issued in certificated form shall be proved by the Registrar.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2.14.5.               </w:t>
      </w:r>
      <w:r>
        <w:rPr>
          <w:rFonts w:ascii="Times New Roman" w:hAnsi="Times New Roman"/>
          <w:color w:val="000000"/>
          <w:sz w:val="20"/>
          <w:u w:val="single"/>
        </w:rPr>
        <w:t>Payments</w:t>
      </w:r>
      <w:r>
        <w:rPr>
          <w:rFonts w:ascii="Times New Roman" w:hAnsi="Times New Roman"/>
          <w:color w:val="000000"/>
          <w:sz w:val="20"/>
        </w:rPr>
        <w:t>.  Notwithstanding the other provisions of this Indenture, unless otherwise specified as contemplated by Section 2.2, payment of the principal of and interest, if any, on any Global Security shall be made to the Holder thereof.</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2.14.6.               </w:t>
      </w:r>
      <w:r>
        <w:rPr>
          <w:rFonts w:ascii="Times New Roman" w:hAnsi="Times New Roman"/>
          <w:color w:val="000000"/>
          <w:sz w:val="20"/>
          <w:u w:val="single"/>
        </w:rPr>
        <w:t>Consents, Declaration and Directions</w:t>
      </w:r>
      <w:r>
        <w:rPr>
          <w:rFonts w:ascii="Times New Roman" w:hAnsi="Times New Roman"/>
          <w:color w:val="000000"/>
          <w:sz w:val="20"/>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bookmarkStart w:id="164" w:name="z_Toc41641748"/>
      <w:bookmarkStart w:id="165" w:name="z_Toc41642220"/>
      <w:bookmarkStart w:id="166" w:name="z_Toc41642120"/>
      <w:bookmarkStart w:id="167" w:name="z_Toc113354612"/>
      <w:bookmarkStart w:id="168" w:name="z_Toc256000020"/>
      <w:bookmarkEnd w:id="164"/>
      <w:bookmarkEnd w:id="165"/>
      <w:bookmarkEnd w:id="166"/>
      <w:bookmarkEnd w:id="167"/>
      <w:bookmarkEnd w:id="168"/>
      <w:r>
        <w:rPr>
          <w:rFonts w:ascii="Times New Roman" w:hAnsi="Times New Roman"/>
          <w:color w:val="000000"/>
          <w:sz w:val="20"/>
        </w:rPr>
        <w:t>Section 2.15          </w:t>
      </w:r>
      <w:r>
        <w:rPr>
          <w:rFonts w:ascii="Times New Roman" w:hAnsi="Times New Roman"/>
          <w:color w:val="000000"/>
          <w:sz w:val="20"/>
          <w:u w:val="single"/>
        </w:rPr>
        <w:t>CUSIP Numbers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The Company in issuing the Securities may use “CUSIP” numbers (if then generally in use), and, if so, the Trustee shall use “CUSIP” numbers in notices of redemption as a convenience to Holders; </w:t>
      </w:r>
      <w:r>
        <w:rPr>
          <w:rFonts w:ascii="Times New Roman" w:hAnsi="Times New Roman"/>
          <w:color w:val="000000"/>
          <w:sz w:val="20"/>
          <w:u w:val="single"/>
        </w:rPr>
        <w:t>provided</w:t>
      </w:r>
      <w:r>
        <w:rPr>
          <w:rFonts w:ascii="Times New Roman" w:hAnsi="Times New Roman"/>
          <w:color w:val="000000"/>
          <w:sz w:val="20"/>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center"/>
        <w:rPr>
          <w:rFonts w:ascii="Times New Roman" w:hAnsi="Times New Roman"/>
          <w:b/>
          <w:color w:val="000000"/>
          <w:sz w:val="20"/>
        </w:rPr>
      </w:pPr>
      <w:bookmarkStart w:id="169" w:name="z_Toc41641749"/>
      <w:bookmarkStart w:id="170" w:name="z_Toc41642221"/>
      <w:bookmarkStart w:id="171" w:name="z_Toc41642121"/>
      <w:bookmarkStart w:id="172" w:name="z_Toc113354613"/>
      <w:bookmarkStart w:id="173" w:name="z_Toc256000021"/>
      <w:bookmarkEnd w:id="169"/>
      <w:bookmarkEnd w:id="170"/>
      <w:bookmarkEnd w:id="171"/>
      <w:bookmarkEnd w:id="172"/>
      <w:bookmarkEnd w:id="173"/>
      <w:r>
        <w:rPr>
          <w:rFonts w:ascii="Times New Roman" w:hAnsi="Times New Roman"/>
          <w:b/>
          <w:color w:val="000000"/>
          <w:sz w:val="20"/>
        </w:rPr>
        <w:t>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74" w:name="z_Toc41641750"/>
      <w:bookmarkStart w:id="175" w:name="z_Toc41642222"/>
      <w:bookmarkStart w:id="176" w:name="z_Toc41642122"/>
      <w:bookmarkStart w:id="177" w:name="z_Toc113354614"/>
      <w:bookmarkStart w:id="178" w:name="z_Toc256000022"/>
      <w:bookmarkEnd w:id="174"/>
      <w:bookmarkEnd w:id="175"/>
      <w:bookmarkEnd w:id="176"/>
      <w:bookmarkEnd w:id="177"/>
      <w:bookmarkEnd w:id="178"/>
      <w:r>
        <w:rPr>
          <w:rFonts w:ascii="Times New Roman" w:hAnsi="Times New Roman"/>
          <w:color w:val="000000"/>
          <w:sz w:val="20"/>
        </w:rPr>
        <w:t xml:space="preserve">Section 3.1            </w:t>
      </w:r>
      <w:r>
        <w:rPr>
          <w:rFonts w:ascii="Times New Roman" w:hAnsi="Times New Roman"/>
          <w:color w:val="000000"/>
          <w:sz w:val="20"/>
          <w:u w:val="single"/>
        </w:rPr>
        <w:t>Notice to Trustee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79" w:name="z_Toc41641751"/>
      <w:bookmarkStart w:id="180" w:name="z_Toc41642223"/>
      <w:bookmarkStart w:id="181" w:name="z_Toc41642123"/>
      <w:bookmarkStart w:id="182" w:name="z_Toc113354615"/>
      <w:bookmarkStart w:id="183" w:name="z_Toc256000023"/>
      <w:bookmarkEnd w:id="179"/>
      <w:bookmarkEnd w:id="180"/>
      <w:bookmarkEnd w:id="181"/>
      <w:bookmarkEnd w:id="182"/>
      <w:bookmarkEnd w:id="183"/>
      <w:r>
        <w:rPr>
          <w:rFonts w:ascii="Times New Roman" w:hAnsi="Times New Roman"/>
          <w:color w:val="000000"/>
          <w:sz w:val="20"/>
        </w:rPr>
        <w:t xml:space="preserve">Section 3.2            </w:t>
      </w:r>
      <w:r>
        <w:rPr>
          <w:rFonts w:ascii="Times New Roman" w:hAnsi="Times New Roman"/>
          <w:color w:val="000000"/>
          <w:sz w:val="20"/>
          <w:u w:val="single"/>
        </w:rPr>
        <w:t>Selection of Securities to be Redeemed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hAnsi="Times New Roman"/>
          <w:i/>
          <w:color w:val="000000"/>
          <w:sz w:val="20"/>
        </w:rPr>
        <w:t>pro rata,</w:t>
      </w:r>
      <w:r>
        <w:rPr>
          <w:rFonts w:ascii="Times New Roman" w:hAnsi="Times New Roman"/>
          <w:color w:val="000000"/>
          <w:sz w:val="20"/>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84" w:name="z_Toc41641752"/>
      <w:bookmarkStart w:id="185" w:name="z_Toc41642224"/>
      <w:bookmarkStart w:id="186" w:name="z_Toc41642124"/>
      <w:bookmarkStart w:id="187" w:name="z_Toc113354616"/>
      <w:bookmarkStart w:id="188" w:name="z_Toc256000024"/>
      <w:bookmarkEnd w:id="184"/>
      <w:bookmarkEnd w:id="185"/>
      <w:bookmarkEnd w:id="186"/>
      <w:bookmarkEnd w:id="187"/>
      <w:bookmarkEnd w:id="188"/>
      <w:r>
        <w:rPr>
          <w:rFonts w:ascii="Times New Roman" w:hAnsi="Times New Roman"/>
          <w:color w:val="000000"/>
          <w:sz w:val="20"/>
        </w:rPr>
        <w:t xml:space="preserve">Section 3.3           </w:t>
      </w:r>
      <w:r>
        <w:rPr>
          <w:rFonts w:ascii="Times New Roman" w:hAnsi="Times New Roman"/>
          <w:color w:val="000000"/>
          <w:sz w:val="20"/>
          <w:u w:val="single"/>
        </w:rPr>
        <w:t>Notice of Redemption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notice shall identify the Securities of the Series to be redeemed and shall state: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redemption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redemption price (or manner of calculation if not then known);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name and address of the Paying Agent;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that Securities of the Series called for redemption must be surrendered to the Paying Agent to collect the redemption price;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that interest on Securities of the Series called for redemption ceases to accrue on and after the redemption date unless the Company defaults in the deposit of the redemption price;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the CUSIP number, if any;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any other information as may be required by the terms of the particular Series or the Securities of a Series being redeemed.</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89" w:name="z_Toc41641753"/>
      <w:bookmarkStart w:id="190" w:name="z_Toc41642125"/>
      <w:bookmarkStart w:id="191" w:name="z_Toc113354617"/>
      <w:bookmarkStart w:id="192" w:name="z_Toc41642225"/>
      <w:bookmarkStart w:id="193" w:name="z_Toc256000025"/>
      <w:bookmarkEnd w:id="189"/>
      <w:bookmarkEnd w:id="190"/>
      <w:bookmarkEnd w:id="191"/>
      <w:bookmarkEnd w:id="192"/>
      <w:bookmarkEnd w:id="193"/>
      <w:r>
        <w:rPr>
          <w:rFonts w:ascii="Times New Roman" w:hAnsi="Times New Roman"/>
          <w:color w:val="000000"/>
          <w:sz w:val="20"/>
        </w:rPr>
        <w:t xml:space="preserve">Section 3.4            </w:t>
      </w:r>
      <w:r>
        <w:rPr>
          <w:rFonts w:ascii="Times New Roman" w:hAnsi="Times New Roman"/>
          <w:color w:val="000000"/>
          <w:sz w:val="20"/>
          <w:u w:val="single"/>
        </w:rPr>
        <w:t>Effect of Notice of Redemption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94" w:name="z_Toc41641754"/>
      <w:bookmarkStart w:id="195" w:name="z_Toc41642126"/>
      <w:bookmarkStart w:id="196" w:name="z_Toc113354618"/>
      <w:bookmarkStart w:id="197" w:name="z_Toc41642226"/>
      <w:bookmarkStart w:id="198" w:name="z_Toc256000026"/>
      <w:bookmarkEnd w:id="194"/>
      <w:bookmarkEnd w:id="195"/>
      <w:bookmarkEnd w:id="196"/>
      <w:bookmarkEnd w:id="197"/>
      <w:bookmarkEnd w:id="198"/>
      <w:r>
        <w:rPr>
          <w:rFonts w:ascii="Times New Roman" w:hAnsi="Times New Roman"/>
          <w:color w:val="000000"/>
          <w:sz w:val="20"/>
        </w:rPr>
        <w:t xml:space="preserve">Section 3.5            </w:t>
      </w:r>
      <w:r>
        <w:rPr>
          <w:rFonts w:ascii="Times New Roman" w:hAnsi="Times New Roman"/>
          <w:color w:val="000000"/>
          <w:sz w:val="20"/>
          <w:u w:val="single"/>
        </w:rPr>
        <w:t>Deposit of Redemption Price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bookmarkStart w:id="199" w:name="z_Toc41641755"/>
      <w:bookmarkStart w:id="200" w:name="z_Toc41642127"/>
      <w:bookmarkStart w:id="201" w:name="z_Toc113354619"/>
      <w:bookmarkStart w:id="202" w:name="z_Toc41642227"/>
      <w:bookmarkStart w:id="203" w:name="z_Toc256000027"/>
      <w:bookmarkEnd w:id="199"/>
      <w:bookmarkEnd w:id="200"/>
      <w:bookmarkEnd w:id="201"/>
      <w:bookmarkEnd w:id="202"/>
      <w:bookmarkEnd w:id="203"/>
      <w:r>
        <w:rPr>
          <w:rFonts w:ascii="Times New Roman" w:hAnsi="Times New Roman"/>
          <w:color w:val="000000"/>
          <w:sz w:val="20"/>
        </w:rPr>
        <w:t xml:space="preserve">Section 3.6            </w:t>
      </w:r>
      <w:r>
        <w:rPr>
          <w:rFonts w:ascii="Times New Roman" w:hAnsi="Times New Roman"/>
          <w:color w:val="000000"/>
          <w:sz w:val="20"/>
          <w:u w:val="single"/>
        </w:rPr>
        <w:t>Securities Redeemed in Part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0"/>
        <w:jc w:val="center"/>
        <w:rPr>
          <w:rFonts w:ascii="Times New Roman" w:hAnsi="Times New Roman"/>
          <w:b/>
          <w:color w:val="000000"/>
          <w:sz w:val="20"/>
        </w:rPr>
      </w:pPr>
      <w:bookmarkStart w:id="204" w:name="z_Toc41641756"/>
      <w:bookmarkStart w:id="205" w:name="z_Toc41642128"/>
      <w:bookmarkStart w:id="206" w:name="z_Toc113354620"/>
      <w:bookmarkStart w:id="207" w:name="z_Toc41642228"/>
      <w:bookmarkStart w:id="208" w:name="z_Toc256000028"/>
      <w:bookmarkEnd w:id="204"/>
      <w:bookmarkEnd w:id="205"/>
      <w:bookmarkEnd w:id="206"/>
      <w:bookmarkEnd w:id="207"/>
      <w:bookmarkEnd w:id="208"/>
      <w:r>
        <w:rPr>
          <w:rFonts w:ascii="Times New Roman" w:hAnsi="Times New Roman"/>
          <w:b/>
          <w:color w:val="000000"/>
          <w:sz w:val="20"/>
        </w:rP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09" w:name="z_Toc41641757"/>
      <w:bookmarkStart w:id="210" w:name="z_Toc41642129"/>
      <w:bookmarkStart w:id="211" w:name="z_Toc113354621"/>
      <w:bookmarkStart w:id="212" w:name="z_Toc41642229"/>
      <w:bookmarkStart w:id="213" w:name="z_Toc256000029"/>
      <w:bookmarkEnd w:id="209"/>
      <w:bookmarkEnd w:id="210"/>
      <w:bookmarkEnd w:id="211"/>
      <w:bookmarkEnd w:id="212"/>
      <w:bookmarkEnd w:id="213"/>
      <w:r>
        <w:rPr>
          <w:rFonts w:ascii="Times New Roman" w:hAnsi="Times New Roman"/>
          <w:color w:val="000000"/>
          <w:sz w:val="20"/>
        </w:rPr>
        <w:t xml:space="preserve">Section 4.1            </w:t>
      </w:r>
      <w:r>
        <w:rPr>
          <w:rFonts w:ascii="Times New Roman" w:hAnsi="Times New Roman"/>
          <w:color w:val="000000"/>
          <w:sz w:val="20"/>
          <w:u w:val="single"/>
        </w:rPr>
        <w:t>Payment of Principal and Interest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14" w:name="z_Toc41641758"/>
      <w:bookmarkStart w:id="215" w:name="z_Toc41642130"/>
      <w:bookmarkStart w:id="216" w:name="z_Toc113354622"/>
      <w:bookmarkStart w:id="217" w:name="z_Toc41642230"/>
      <w:bookmarkStart w:id="218" w:name="z_Toc256000030"/>
      <w:bookmarkEnd w:id="214"/>
      <w:bookmarkEnd w:id="215"/>
      <w:bookmarkEnd w:id="216"/>
      <w:bookmarkEnd w:id="217"/>
      <w:bookmarkEnd w:id="218"/>
      <w:r>
        <w:rPr>
          <w:rFonts w:ascii="Times New Roman" w:hAnsi="Times New Roman"/>
          <w:color w:val="000000"/>
          <w:sz w:val="20"/>
        </w:rPr>
        <w:t xml:space="preserve">Section 4.2            </w:t>
      </w:r>
      <w:r>
        <w:rPr>
          <w:rFonts w:ascii="Times New Roman" w:hAnsi="Times New Roman"/>
          <w:color w:val="000000"/>
          <w:sz w:val="20"/>
          <w:u w:val="single"/>
        </w:rPr>
        <w:t>SEC Reports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19" w:name="z_Toc41641759"/>
      <w:bookmarkStart w:id="220" w:name="z_Toc41642131"/>
      <w:bookmarkStart w:id="221" w:name="z_Toc113354623"/>
      <w:bookmarkStart w:id="222" w:name="z_Toc41642231"/>
      <w:bookmarkStart w:id="223" w:name="z_Toc256000031"/>
      <w:bookmarkEnd w:id="219"/>
      <w:bookmarkEnd w:id="220"/>
      <w:bookmarkEnd w:id="221"/>
      <w:bookmarkEnd w:id="222"/>
      <w:bookmarkEnd w:id="223"/>
      <w:r>
        <w:rPr>
          <w:rFonts w:ascii="Times New Roman" w:hAnsi="Times New Roman"/>
          <w:color w:val="000000"/>
          <w:sz w:val="20"/>
        </w:rPr>
        <w:t xml:space="preserve">Section 4.3            </w:t>
      </w:r>
      <w:r>
        <w:rPr>
          <w:rFonts w:ascii="Times New Roman" w:hAnsi="Times New Roman"/>
          <w:color w:val="000000"/>
          <w:sz w:val="20"/>
          <w:u w:val="single"/>
        </w:rPr>
        <w:t>Compliance Certificate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bookmarkStart w:id="224" w:name="z_Toc41641760"/>
      <w:bookmarkStart w:id="225" w:name="z_Toc41642132"/>
      <w:bookmarkStart w:id="226" w:name="z_Toc113354624"/>
      <w:bookmarkStart w:id="227" w:name="z_Toc41642232"/>
      <w:bookmarkStart w:id="228" w:name="z_Toc256000032"/>
      <w:bookmarkEnd w:id="224"/>
      <w:bookmarkEnd w:id="225"/>
      <w:bookmarkEnd w:id="226"/>
      <w:bookmarkEnd w:id="227"/>
      <w:bookmarkEnd w:id="228"/>
      <w:r>
        <w:rPr>
          <w:rFonts w:ascii="Times New Roman" w:hAnsi="Times New Roman"/>
          <w:color w:val="000000"/>
          <w:sz w:val="20"/>
        </w:rPr>
        <w:t xml:space="preserve">Section 4.4           </w:t>
      </w:r>
      <w:r>
        <w:rPr>
          <w:rFonts w:ascii="Times New Roman" w:hAnsi="Times New Roman"/>
          <w:color w:val="000000"/>
          <w:sz w:val="20"/>
          <w:u w:val="single"/>
        </w:rPr>
        <w:t>Stay, Extension and Usury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0"/>
        <w:jc w:val="center"/>
        <w:rPr>
          <w:rFonts w:ascii="Times New Roman" w:hAnsi="Times New Roman"/>
          <w:b/>
          <w:color w:val="000000"/>
          <w:sz w:val="20"/>
        </w:rPr>
      </w:pPr>
      <w:bookmarkStart w:id="229" w:name="z_Toc41641761"/>
      <w:bookmarkStart w:id="230" w:name="z_Toc41642133"/>
      <w:bookmarkStart w:id="231" w:name="z_Toc113354625"/>
      <w:bookmarkStart w:id="232" w:name="z_Toc41642233"/>
      <w:bookmarkStart w:id="233" w:name="z_Toc256000033"/>
      <w:bookmarkEnd w:id="229"/>
      <w:bookmarkEnd w:id="230"/>
      <w:bookmarkEnd w:id="231"/>
      <w:bookmarkEnd w:id="232"/>
      <w:bookmarkEnd w:id="233"/>
      <w:r>
        <w:rPr>
          <w:rFonts w:ascii="Times New Roman" w:hAnsi="Times New Roman"/>
          <w:b/>
          <w:color w:val="000000"/>
          <w:sz w:val="20"/>
        </w:rPr>
        <w:t>SUCCESSORS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34" w:name="z_Toc41641762"/>
      <w:bookmarkStart w:id="235" w:name="z_Toc41642134"/>
      <w:bookmarkStart w:id="236" w:name="z_Toc113354626"/>
      <w:bookmarkStart w:id="237" w:name="z_Toc41642234"/>
      <w:bookmarkStart w:id="238" w:name="z_Toc256000034"/>
      <w:bookmarkEnd w:id="234"/>
      <w:bookmarkEnd w:id="235"/>
      <w:bookmarkEnd w:id="236"/>
      <w:bookmarkEnd w:id="237"/>
      <w:bookmarkEnd w:id="238"/>
      <w:r>
        <w:rPr>
          <w:rFonts w:ascii="Times New Roman" w:hAnsi="Times New Roman"/>
          <w:color w:val="000000"/>
          <w:sz w:val="20"/>
        </w:rPr>
        <w:t xml:space="preserve">Section 5.1           </w:t>
      </w:r>
      <w:r>
        <w:rPr>
          <w:rFonts w:ascii="Times New Roman" w:hAnsi="Times New Roman"/>
          <w:color w:val="000000"/>
          <w:sz w:val="20"/>
          <w:u w:val="single"/>
        </w:rPr>
        <w:t>When Company May Merge, Etc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shall not consolidate with or merge with or into, or convey, transfer or lease all or substantially all of its properties and assets to, any person (a “</w:t>
      </w:r>
      <w:r>
        <w:rPr>
          <w:rFonts w:ascii="Times New Roman" w:hAnsi="Times New Roman"/>
          <w:i/>
          <w:color w:val="000000"/>
          <w:sz w:val="20"/>
        </w:rPr>
        <w:t>successor person</w:t>
      </w:r>
      <w:r>
        <w:rPr>
          <w:rFonts w:ascii="Times New Roman" w:hAnsi="Times New Roman"/>
          <w:color w:val="000000"/>
          <w:sz w:val="20"/>
        </w:rPr>
        <w:t>”) unless: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immediately after giving effect to the transaction, no Default or Event of Default, shall have occurred and be continuing.</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39" w:name="z_Toc41641763"/>
      <w:bookmarkStart w:id="240" w:name="z_Toc41642135"/>
      <w:bookmarkStart w:id="241" w:name="z_Toc113354627"/>
      <w:bookmarkStart w:id="242" w:name="z_Toc41642235"/>
      <w:bookmarkStart w:id="243" w:name="z_Toc256000035"/>
      <w:bookmarkEnd w:id="239"/>
      <w:bookmarkEnd w:id="240"/>
      <w:bookmarkEnd w:id="241"/>
      <w:bookmarkEnd w:id="242"/>
      <w:bookmarkEnd w:id="243"/>
      <w:r>
        <w:rPr>
          <w:rFonts w:ascii="Times New Roman" w:hAnsi="Times New Roman"/>
          <w:color w:val="000000"/>
          <w:sz w:val="20"/>
        </w:rPr>
        <w:t xml:space="preserve">Section 5.2            </w:t>
      </w:r>
      <w:r>
        <w:rPr>
          <w:rFonts w:ascii="Times New Roman" w:hAnsi="Times New Roman"/>
          <w:color w:val="000000"/>
          <w:sz w:val="20"/>
          <w:u w:val="single"/>
        </w:rPr>
        <w:t>Successor Corporation Substituted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predecessor Company in the case of a sale, conveyance or other disposition (other than a lease) shall be released from all obligations and covenants under this Indenture and the Securities.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w:t>
      </w:r>
    </w:p>
    <w:p>
      <w:pPr>
        <w:pStyle w:val="TextBody"/>
        <w:bidi w:val="0"/>
        <w:spacing w:before="0" w:after="0"/>
        <w:jc w:val="center"/>
        <w:rPr>
          <w:rFonts w:ascii="Times New Roman" w:hAnsi="Times New Roman"/>
          <w:b/>
          <w:color w:val="000000"/>
          <w:sz w:val="20"/>
        </w:rPr>
      </w:pPr>
      <w:bookmarkStart w:id="244" w:name="z_Toc41641764"/>
      <w:bookmarkStart w:id="245" w:name="z_Toc41642136"/>
      <w:bookmarkStart w:id="246" w:name="z_Toc113354628"/>
      <w:bookmarkStart w:id="247" w:name="z_Toc41642236"/>
      <w:bookmarkStart w:id="248" w:name="z_Toc256000036"/>
      <w:bookmarkEnd w:id="244"/>
      <w:bookmarkEnd w:id="245"/>
      <w:bookmarkEnd w:id="246"/>
      <w:bookmarkEnd w:id="247"/>
      <w:bookmarkEnd w:id="248"/>
      <w:r>
        <w:rPr>
          <w:rFonts w:ascii="Times New Roman" w:hAnsi="Times New Roman"/>
          <w:b/>
          <w:color w:val="000000"/>
          <w:sz w:val="20"/>
        </w:rPr>
        <w:t>DEFAULTS AND REMEDIES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49" w:name="z_Toc41641765"/>
      <w:bookmarkStart w:id="250" w:name="z_Toc41642137"/>
      <w:bookmarkStart w:id="251" w:name="z_Toc113354629"/>
      <w:bookmarkStart w:id="252" w:name="z_Toc41642237"/>
      <w:bookmarkStart w:id="253" w:name="z_Toc256000037"/>
      <w:bookmarkEnd w:id="249"/>
      <w:bookmarkEnd w:id="250"/>
      <w:bookmarkEnd w:id="251"/>
      <w:bookmarkEnd w:id="252"/>
      <w:bookmarkEnd w:id="253"/>
      <w:r>
        <w:rPr>
          <w:rFonts w:ascii="Times New Roman" w:hAnsi="Times New Roman"/>
          <w:color w:val="000000"/>
          <w:sz w:val="20"/>
        </w:rPr>
        <w:t xml:space="preserve">Section 6.1            </w:t>
      </w:r>
      <w:r>
        <w:rPr>
          <w:rFonts w:ascii="Times New Roman" w:hAnsi="Times New Roman"/>
          <w:color w:val="000000"/>
          <w:sz w:val="20"/>
          <w:u w:val="single"/>
        </w:rPr>
        <w:t>Events of Default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color w:val="000000"/>
        </w:rPr>
      </w:pPr>
      <w:r>
        <w:rPr>
          <w:color w:val="000000"/>
        </w:rPr>
        <w:t>“</w:t>
      </w:r>
      <w:r>
        <w:rPr>
          <w:rFonts w:ascii="Times New Roman" w:hAnsi="Times New Roman"/>
          <w:i/>
          <w:color w:val="000000"/>
          <w:sz w:val="20"/>
        </w:rPr>
        <w:t>Event of Default</w:t>
      </w:r>
      <w:r>
        <w:rPr>
          <w:rFonts w:ascii="Times New Roman" w:hAnsi="Times New Roman"/>
          <w:color w:val="000000"/>
          <w:sz w:val="20"/>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1440"/>
        <w:jc w:val="left"/>
        <w:rPr>
          <w:rFonts w:ascii="Times New Roman" w:hAnsi="Times New Roman"/>
          <w:color w:val="000000"/>
          <w:sz w:val="20"/>
        </w:rPr>
      </w:pPr>
      <w:r>
        <w:rPr>
          <w:rFonts w:ascii="Times New Roman" w:hAnsi="Times New Roman"/>
          <w:color w:val="000000"/>
          <w:sz w:val="20"/>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default in the payment of principal of any Security of that Series at its Maturity;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Company pursuant to or within the meaning of any Bankruptcy Law:</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          commences a voluntary case,</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(ii)          consents to the entry of an order for relief against it in an involuntary case,</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(iii)         consents to the appointment of a Custodian of it or for all or substantially all of its property,</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(iv)          makes a general assignment for the benefit of its creditors, or</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(v)          generally is unable to pay its debts as the same become due;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a court of competent jurisdiction enters an order or decree under any Bankruptcy Law that:</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           is for relief against the Company in an involuntary case,</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(ii)          appoints a Custodian of the Company or for all or substantially all of its property, or</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(iii)         orders the liquidation of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 order or decree remains unstayed and in effect for 60 days; 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any other Event of Default provided with respect to Securities of that Series, which is specified in a Board Resolution, a supplemental indenture hereto or an Officer’s Certificate, in accordance with Section 2.2.18.</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term “</w:t>
      </w:r>
      <w:r>
        <w:rPr>
          <w:rFonts w:ascii="Times New Roman" w:hAnsi="Times New Roman"/>
          <w:i/>
          <w:color w:val="000000"/>
          <w:sz w:val="20"/>
        </w:rPr>
        <w:t>Bankruptcy Law</w:t>
      </w:r>
      <w:r>
        <w:rPr>
          <w:rFonts w:ascii="Times New Roman" w:hAnsi="Times New Roman"/>
          <w:color w:val="000000"/>
          <w:sz w:val="20"/>
        </w:rPr>
        <w:t>” means title 11, U.S. Code or any similar U.S. Federal or State law for the relief of debtors.  The term “</w:t>
      </w:r>
      <w:r>
        <w:rPr>
          <w:rFonts w:ascii="Times New Roman" w:hAnsi="Times New Roman"/>
          <w:i/>
          <w:color w:val="000000"/>
          <w:sz w:val="20"/>
        </w:rPr>
        <w:t>Custodian</w:t>
      </w:r>
      <w:r>
        <w:rPr>
          <w:rFonts w:ascii="Times New Roman" w:hAnsi="Times New Roman"/>
          <w:color w:val="000000"/>
          <w:sz w:val="20"/>
        </w:rPr>
        <w:t>” means any receiver, trustee, assignee, liquidator or similar official under any Bankruptcy Law.</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54" w:name="z_Toc41641766"/>
      <w:bookmarkStart w:id="255" w:name="z_Toc41642238"/>
      <w:bookmarkStart w:id="256" w:name="z_Toc41642138"/>
      <w:bookmarkStart w:id="257" w:name="z_Toc113354630"/>
      <w:bookmarkStart w:id="258" w:name="z_Toc256000038"/>
      <w:bookmarkEnd w:id="254"/>
      <w:bookmarkEnd w:id="255"/>
      <w:bookmarkEnd w:id="256"/>
      <w:bookmarkEnd w:id="257"/>
      <w:bookmarkEnd w:id="258"/>
      <w:r>
        <w:rPr>
          <w:rFonts w:ascii="Times New Roman" w:hAnsi="Times New Roman"/>
          <w:color w:val="000000"/>
          <w:sz w:val="20"/>
        </w:rPr>
        <w:t xml:space="preserve">Section 6.2           </w:t>
      </w:r>
      <w:r>
        <w:rPr>
          <w:rFonts w:ascii="Times New Roman" w:hAnsi="Times New Roman"/>
          <w:color w:val="000000"/>
          <w:sz w:val="20"/>
          <w:u w:val="single"/>
        </w:rPr>
        <w:t>Acceleration of Maturity; Rescission and Annulment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color w:val="000000"/>
          <w:sz w:val="20"/>
        </w:rPr>
        <w:t>ipso facto</w:t>
      </w:r>
      <w:r>
        <w:rPr>
          <w:rFonts w:ascii="Times New Roman" w:hAnsi="Times New Roman"/>
          <w:color w:val="000000"/>
          <w:sz w:val="20"/>
        </w:rPr>
        <w:t xml:space="preserve"> become and be immediately due and payable without any declaration or other act on the part of the Trustee or any Holder.</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 such rescission shall affect any subsequent Default or impair any right consequent thereon.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59" w:name="z_Toc41641767"/>
      <w:bookmarkStart w:id="260" w:name="z_Toc41642239"/>
      <w:bookmarkStart w:id="261" w:name="z_Toc41642139"/>
      <w:bookmarkStart w:id="262" w:name="z_Toc113354631"/>
      <w:bookmarkStart w:id="263" w:name="z_Toc256000039"/>
      <w:bookmarkEnd w:id="259"/>
      <w:bookmarkEnd w:id="260"/>
      <w:bookmarkEnd w:id="261"/>
      <w:bookmarkEnd w:id="262"/>
      <w:bookmarkEnd w:id="263"/>
      <w:r>
        <w:rPr>
          <w:rFonts w:ascii="Times New Roman" w:hAnsi="Times New Roman"/>
          <w:color w:val="000000"/>
          <w:sz w:val="20"/>
        </w:rPr>
        <w:t xml:space="preserve">Section 6.3           </w:t>
      </w:r>
      <w:r>
        <w:rPr>
          <w:rFonts w:ascii="Times New Roman" w:hAnsi="Times New Roman"/>
          <w:color w:val="000000"/>
          <w:sz w:val="20"/>
          <w:u w:val="single"/>
        </w:rPr>
        <w:t>Collection of Indebtedness and Suits for Enforcement by Trustee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covenants that if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default is made in the payment of any interest on any Security when such interest becomes due and payable and such default continues for a period of 30 days,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default is made in the payment of principal of any Security at the Maturity thereof,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default is made in the deposit of any sinking fund payment, if any, when and as due by the terms of a Security,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then</w:t>
      </w:r>
      <w:r>
        <w:rPr>
          <w:rFonts w:ascii="Times New Roman" w:hAnsi="Times New Roman"/>
          <w:color w:val="000000"/>
          <w:sz w:val="20"/>
        </w:rPr>
        <w:t>,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64" w:name="z_Toc41641768"/>
      <w:bookmarkStart w:id="265" w:name="z_Toc41642240"/>
      <w:bookmarkStart w:id="266" w:name="z_Toc41642140"/>
      <w:bookmarkStart w:id="267" w:name="z_Toc113354632"/>
      <w:bookmarkStart w:id="268" w:name="z_Toc256000040"/>
      <w:bookmarkEnd w:id="264"/>
      <w:bookmarkEnd w:id="265"/>
      <w:bookmarkEnd w:id="266"/>
      <w:bookmarkEnd w:id="267"/>
      <w:bookmarkEnd w:id="268"/>
      <w:r>
        <w:rPr>
          <w:rFonts w:ascii="Times New Roman" w:hAnsi="Times New Roman"/>
          <w:color w:val="000000"/>
          <w:sz w:val="20"/>
        </w:rPr>
        <w:t xml:space="preserve">Section 6.4            </w:t>
      </w:r>
      <w:r>
        <w:rPr>
          <w:rFonts w:ascii="Times New Roman" w:hAnsi="Times New Roman"/>
          <w:color w:val="000000"/>
          <w:sz w:val="20"/>
          <w:u w:val="single"/>
        </w:rPr>
        <w:t>Trustee May File Proofs of Claim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jc w:val="left"/>
        <w:rPr>
          <w:color w:val="000000"/>
        </w:rPr>
      </w:pPr>
      <w:r>
        <w:rPr>
          <w:color w:val="000000"/>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16"/>
        </w:rPr>
      </w:pPr>
      <w:bookmarkStart w:id="269" w:name="z_Toc41641769"/>
      <w:bookmarkStart w:id="270" w:name="z_Toc41642241"/>
      <w:bookmarkStart w:id="271" w:name="z_Toc41642141"/>
      <w:bookmarkStart w:id="272" w:name="z_Toc113354633"/>
      <w:bookmarkStart w:id="273" w:name="z_Toc256000041"/>
      <w:bookmarkEnd w:id="269"/>
      <w:bookmarkEnd w:id="270"/>
      <w:bookmarkEnd w:id="271"/>
      <w:bookmarkEnd w:id="272"/>
      <w:bookmarkEnd w:id="273"/>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6.5           </w:t>
      </w:r>
      <w:r>
        <w:rPr>
          <w:rFonts w:ascii="Times New Roman" w:hAnsi="Times New Roman"/>
          <w:color w:val="000000"/>
          <w:sz w:val="20"/>
          <w:u w:val="single"/>
        </w:rPr>
        <w:t>Trustee May Enforce Claims Without Possession of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Section 6.6           </w:t>
      </w:r>
      <w:r>
        <w:rPr>
          <w:rFonts w:ascii="Times New Roman" w:hAnsi="Times New Roman"/>
          <w:color w:val="000000"/>
          <w:sz w:val="20"/>
          <w:u w:val="single"/>
        </w:rPr>
        <w:t>Application of Money Collected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First: To the payment of all amounts due the Trustee under Section 7.7; and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Third: To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6.7           </w:t>
      </w:r>
      <w:r>
        <w:rPr>
          <w:rFonts w:ascii="Times New Roman" w:hAnsi="Times New Roman"/>
          <w:color w:val="000000"/>
          <w:sz w:val="20"/>
          <w:u w:val="single"/>
        </w:rPr>
        <w:t>Limitation on Suits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such Holder has previously given written notice to the Trustee of a continuing Event of Default with respect to the Securities of that Series;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Holders of not less than 25%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such Holder or Holders have offered to the Trustee indemnity or security satisfactory to the Trustee against the costs, expenses and liabilities which might be incurred by the Trustee in compliance with such request;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Trustee for 60 days after its receipt of such notice, request and offer of indemnity has failed to institute any such proceeding;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no direction inconsistent with such written request has been given to the Trustee during such 60-day period by the Holders of a majority in principal amount of the outstanding Securities of that Series;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pStyle w:val="TextBody"/>
        <w:bidi w:val="0"/>
        <w:spacing w:before="0" w:after="0"/>
        <w:jc w:val="left"/>
        <w:rPr>
          <w:color w:val="000000"/>
        </w:rPr>
      </w:pPr>
      <w:r>
        <w:rPr>
          <w:color w:val="00000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6.8          </w:t>
      </w:r>
      <w:r>
        <w:rPr>
          <w:rFonts w:ascii="Times New Roman" w:hAnsi="Times New Roman"/>
          <w:color w:val="000000"/>
          <w:sz w:val="20"/>
          <w:u w:val="single"/>
        </w:rPr>
        <w:t>Unconditional Right of Holders to Receive Principal and Interest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6.9          </w:t>
      </w:r>
      <w:r>
        <w:rPr>
          <w:rFonts w:ascii="Times New Roman" w:hAnsi="Times New Roman"/>
          <w:color w:val="000000"/>
          <w:sz w:val="20"/>
          <w:u w:val="single"/>
        </w:rPr>
        <w:t>Restoration of Rights and Remedies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6.10        </w:t>
      </w:r>
      <w:r>
        <w:rPr>
          <w:rFonts w:ascii="Times New Roman" w:hAnsi="Times New Roman"/>
          <w:color w:val="000000"/>
          <w:sz w:val="20"/>
          <w:u w:val="single"/>
        </w:rPr>
        <w:t>Rights and Remedies Cumulative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6.11         </w:t>
      </w:r>
      <w:r>
        <w:rPr>
          <w:rFonts w:ascii="Times New Roman" w:hAnsi="Times New Roman"/>
          <w:color w:val="000000"/>
          <w:sz w:val="20"/>
          <w:u w:val="single"/>
        </w:rPr>
        <w:t>Delay or Omission Not Waiver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6.12         </w:t>
      </w:r>
      <w:r>
        <w:rPr>
          <w:rFonts w:ascii="Times New Roman" w:hAnsi="Times New Roman"/>
          <w:color w:val="000000"/>
          <w:sz w:val="20"/>
          <w:u w:val="single"/>
        </w:rPr>
        <w:t>Control by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such direction shall not be in conflict with any rule of law or with this Indenture,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Trustee may take any other action deemed proper by the Trustee which is not inconsistent with such direction,</w:t>
      </w:r>
    </w:p>
    <w:p>
      <w:pPr>
        <w:pStyle w:val="TextBody"/>
        <w:bidi w:val="0"/>
        <w:spacing w:before="0" w:after="0"/>
        <w:jc w:val="left"/>
        <w:rPr>
          <w:color w:val="000000"/>
        </w:rPr>
      </w:pPr>
      <w:r>
        <w:rPr>
          <w:color w:val="00000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prior to taking any action as directed under this Section 6.12, the Trustee shall be entitled to indemnity satisfactory to it against the losses, costs, expenses and liabilities which might be incurred by it in compliance with such request or direction.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6.13         </w:t>
      </w:r>
      <w:r>
        <w:rPr>
          <w:rFonts w:ascii="Times New Roman" w:hAnsi="Times New Roman"/>
          <w:color w:val="000000"/>
          <w:sz w:val="20"/>
          <w:u w:val="single"/>
        </w:rPr>
        <w:t>Waiver of Past Defaults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6.14         </w:t>
      </w:r>
      <w:r>
        <w:rPr>
          <w:rFonts w:ascii="Times New Roman" w:hAnsi="Times New Roman"/>
          <w:color w:val="000000"/>
          <w:sz w:val="20"/>
          <w:u w:val="single"/>
        </w:rPr>
        <w:t>Undertaking for Costs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7.1          </w:t>
      </w:r>
      <w:r>
        <w:rPr>
          <w:rFonts w:ascii="Times New Roman" w:hAnsi="Times New Roman"/>
          <w:color w:val="000000"/>
          <w:sz w:val="20"/>
          <w:u w:val="single"/>
        </w:rPr>
        <w:t>Duties of Trustee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during the continuance of an Event of Default:</w:t>
      </w:r>
    </w:p>
    <w:p>
      <w:pPr>
        <w:pStyle w:val="TextBody"/>
        <w:bidi w:val="0"/>
        <w:spacing w:before="0" w:after="0"/>
        <w:jc w:val="left"/>
        <w:rPr/>
      </w:pPr>
      <w:r>
        <w:rPr/>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          The Trustee need perform only those duties that are specifically set forth in this Indenture and no others, and no implied covenants or obligations shall be read into this Indenture against the Trustee.</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color w:val="000000"/>
          <w:sz w:val="20"/>
          <w:u w:val="single"/>
        </w:rPr>
        <w:t>however</w:t>
      </w:r>
      <w:r>
        <w:rPr>
          <w:rFonts w:ascii="Times New Roman" w:hAnsi="Times New Roman"/>
          <w:color w:val="000000"/>
          <w:sz w:val="20"/>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pStyle w:val="TextBody"/>
        <w:bidi w:val="0"/>
        <w:spacing w:before="0" w:after="0"/>
        <w:jc w:val="left"/>
        <w:rPr>
          <w:color w:val="000000"/>
        </w:rPr>
      </w:pPr>
      <w:r>
        <w:rPr>
          <w:color w:val="00000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Trustee may not be relieved from liability for its own negligent action, its own negligent failure to act or its own willful misconduct, except that:</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          This paragraph does not limit the effect of paragraph (b) of this Section.</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(ii)         The Trustee shall not be liable for any error of judgment made in good faith by a Responsible Officer, unless it is proved in a court of competent jurisdiction that the Trustee was negligent in ascertaining the pertinent facts.</w:t>
      </w:r>
    </w:p>
    <w:p>
      <w:pPr>
        <w:pStyle w:val="TextBody"/>
        <w:bidi w:val="0"/>
        <w:spacing w:before="0" w:after="0"/>
        <w:jc w:val="left"/>
        <w:rPr>
          <w:color w:val="000000"/>
        </w:rPr>
      </w:pPr>
      <w:r>
        <w:rPr>
          <w:color w:val="000000"/>
        </w:rPr>
        <w:t> </w:t>
      </w:r>
    </w:p>
    <w:p>
      <w:pPr>
        <w:pStyle w:val="TextBody"/>
        <w:bidi w:val="0"/>
        <w:spacing w:before="0" w:after="0"/>
        <w:ind w:left="0" w:right="0" w:firstLine="2520"/>
        <w:jc w:val="left"/>
        <w:rPr>
          <w:rFonts w:ascii="Times New Roman" w:hAnsi="Times New Roman"/>
          <w:color w:val="000000"/>
          <w:sz w:val="20"/>
        </w:rPr>
      </w:pPr>
      <w:r>
        <w:rPr>
          <w:rFonts w:ascii="Times New Roman" w:hAnsi="Times New Roman"/>
          <w:color w:val="000000"/>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Every provision of this Indenture that in any way relates to the Trustee is subject to paragraph (a), (b) and (c) of this Section.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The Trustee may refuse to perform any duty or exercise any right or power unless it receives indemnity satisfactory to it against the losses, costs, expenses and liabilities which might be incurred by it in performing such duty or exercising such right or power.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The Trustee shall not be liable for interest or investment on any money received by it except as the Trustee may agree in writing with the Company.  Money held in trust by the Trustee need not be segregated from other funds except to the extent required by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No provision of this Indenture shall require the Trustee to expend or risk its own funds or otherwise incur any financial liability in the performance of any of its duties, or in the exercise of any of its rights or powers.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The Paying Agent, the Registrar and any authenticating agent shall be entitled to the protections and immunities as are set forth in paragraphs (e), (f) and (g) of this Section and in Section 7.2, each with respect to the Trustee.</w:t>
      </w:r>
    </w:p>
    <w:p>
      <w:pPr>
        <w:pStyle w:val="TextBody"/>
        <w:bidi w:val="0"/>
        <w:spacing w:before="0" w:after="0"/>
        <w:ind w:left="0" w:right="0" w:firstLine="144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7.2           </w:t>
      </w:r>
      <w:r>
        <w:rPr>
          <w:rFonts w:ascii="Times New Roman" w:hAnsi="Times New Roman"/>
          <w:color w:val="000000"/>
          <w:sz w:val="20"/>
          <w:u w:val="single"/>
        </w:rPr>
        <w:t>Rights of Trustee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Trustee shall not be liable for any action it takes or omits to take in good faith which it believes to be authorized or within its rights or powers, provided that the Trustee’s conduct does not constitute willful misconduct or negligence.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The permissive right of the Trustee to take the actions permitted by this Indenture shall not be construed as an obligation or duty to do so.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No bond or surety shall be required with respect to performance of Trustee’s duties and powers.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(l)           Under no circumstances shall the Trustee be liable in its individual capacity for the obligations evidenced by the Securities.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(m)         Any request or direction of the Company mentioned herein shall be sufficiently evidenced by a Company Order and any resolution of the Board of Directors may be sufficiently evidenced by a Board Resolution.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(n)          The Trustee may request that the Company deliver a certificate setting forth the names of individuals and/or titles of officers authorized at such time to take specified actions pursuant to this Indenture.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(o)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7.3           </w:t>
      </w:r>
      <w:r>
        <w:rPr>
          <w:rFonts w:ascii="Times New Roman" w:hAnsi="Times New Roman"/>
          <w:color w:val="000000"/>
          <w:sz w:val="20"/>
          <w:u w:val="single"/>
        </w:rPr>
        <w:t>Individual Rights of Trustee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7.4           </w:t>
      </w:r>
      <w:r>
        <w:rPr>
          <w:rFonts w:ascii="Times New Roman" w:hAnsi="Times New Roman"/>
          <w:color w:val="000000"/>
          <w:sz w:val="20"/>
          <w:u w:val="single"/>
        </w:rPr>
        <w:t>Trustee’s Disclaimer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7.5           </w:t>
      </w:r>
      <w:r>
        <w:rPr>
          <w:rFonts w:ascii="Times New Roman" w:hAnsi="Times New Roman"/>
          <w:color w:val="000000"/>
          <w:sz w:val="20"/>
          <w:u w:val="single"/>
        </w:rPr>
        <w:t>Notice of Defaults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pStyle w:val="TextBody"/>
        <w:bidi w:val="0"/>
        <w:spacing w:before="0" w:after="0"/>
        <w:ind w:left="0" w:right="0" w:firstLine="979"/>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7.6           </w:t>
      </w:r>
      <w:r>
        <w:rPr>
          <w:rFonts w:ascii="Times New Roman" w:hAnsi="Times New Roman"/>
          <w:color w:val="000000"/>
          <w:sz w:val="20"/>
          <w:u w:val="single"/>
        </w:rPr>
        <w:t>Reports by Trustee to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7.7           </w:t>
      </w:r>
      <w:r>
        <w:rPr>
          <w:rFonts w:ascii="Times New Roman" w:hAnsi="Times New Roman"/>
          <w:color w:val="000000"/>
          <w:sz w:val="20"/>
          <w:u w:val="single"/>
        </w:rPr>
        <w:t>Compensation and Indemnity</w:t>
      </w:r>
      <w:r>
        <w:rPr>
          <w:rFonts w:ascii="Times New Roman" w:hAnsi="Times New Roman"/>
          <w:color w:val="000000"/>
          <w:sz w:val="20"/>
        </w:rPr>
        <w:t>.</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When the Trustee incurs expenses or renders services after an Event of Default specified in Section 6.1(d) or (e) occurs, the expenses and the compensation for the services are intended to constitute expenses of administration under any Bankruptcy Law.</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provisions of this Section shall survive the termination of this Indenture or the resignation or removal of the Trustee.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7.8          </w:t>
      </w:r>
      <w:r>
        <w:rPr>
          <w:rFonts w:ascii="Times New Roman" w:hAnsi="Times New Roman"/>
          <w:color w:val="000000"/>
          <w:sz w:val="20"/>
          <w:u w:val="single"/>
        </w:rPr>
        <w:t>Replacement of Trustee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 resignation or removal of the Trustee and appointment of a successor Trustee shall become effective only upon the successor Trustee’s acceptance of appointment as provided in this Section.</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Trustee fails to comply with Section 7.10;</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Trustee is adjudged a bankrupt or an insolvent or an order for relief is entered with respect to the Trustee under any Bankruptcy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a Custodian or public officer takes charge of the Trustee or its property;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Trustee becomes incapable of acting.</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pStyle w:val="TextBody"/>
        <w:bidi w:val="0"/>
        <w:spacing w:before="0" w:after="0"/>
        <w:ind w:left="0" w:right="0" w:firstLine="90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7.9           </w:t>
      </w:r>
      <w:r>
        <w:rPr>
          <w:rFonts w:ascii="Times New Roman" w:hAnsi="Times New Roman"/>
          <w:color w:val="000000"/>
          <w:sz w:val="20"/>
          <w:u w:val="single"/>
        </w:rPr>
        <w:t>Successor Trustee by Merger, Etc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pStyle w:val="TextBody"/>
        <w:bidi w:val="0"/>
        <w:spacing w:before="0" w:after="0"/>
        <w:ind w:left="0" w:right="0" w:firstLine="979"/>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7.10         </w:t>
      </w:r>
      <w:r>
        <w:rPr>
          <w:rFonts w:ascii="Times New Roman" w:hAnsi="Times New Roman"/>
          <w:color w:val="000000"/>
          <w:sz w:val="20"/>
          <w:u w:val="single"/>
        </w:rPr>
        <w:t>Eligibility; Disqualification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7.11         </w:t>
      </w:r>
      <w:r>
        <w:rPr>
          <w:rFonts w:ascii="Times New Roman" w:hAnsi="Times New Roman"/>
          <w:color w:val="000000"/>
          <w:sz w:val="20"/>
          <w:u w:val="single"/>
        </w:rPr>
        <w:t>Preferential Collection of Claims Against Company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is subject to TIA § 311(a), excluding any creditor relationship listed in TIA § 311(b).  A Trustee who has resigned or been removed shall be subject to TIA § 311(a) to the extent indicated.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SATISFACTION AND DISCHARGE; DEFEASANCE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8.1           </w:t>
      </w:r>
      <w:r>
        <w:rPr>
          <w:rFonts w:ascii="Times New Roman" w:hAnsi="Times New Roman"/>
          <w:color w:val="000000"/>
          <w:sz w:val="20"/>
          <w:u w:val="single"/>
        </w:rPr>
        <w:t>Satisfaction and Discharge of 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either</w:t>
      </w:r>
    </w:p>
    <w:p>
      <w:pPr>
        <w:pStyle w:val="TextBody"/>
        <w:bidi w:val="0"/>
        <w:spacing w:before="0" w:after="0"/>
        <w:jc w:val="left"/>
        <w:rPr>
          <w:color w:val="000000"/>
        </w:rPr>
      </w:pPr>
      <w:r>
        <w:rPr>
          <w:color w:val="000000"/>
        </w:rPr>
        <w:t> </w:t>
      </w:r>
    </w:p>
    <w:p>
      <w:pPr>
        <w:pStyle w:val="TextBody"/>
        <w:bidi w:val="0"/>
        <w:spacing w:before="0" w:after="0"/>
        <w:ind w:left="0" w:right="0" w:firstLine="2340"/>
        <w:jc w:val="left"/>
        <w:rPr>
          <w:rFonts w:ascii="Times New Roman" w:hAnsi="Times New Roman"/>
          <w:color w:val="000000"/>
          <w:sz w:val="20"/>
        </w:rPr>
      </w:pPr>
      <w:r>
        <w:rPr>
          <w:rFonts w:ascii="Times New Roman" w:hAnsi="Times New Roman"/>
          <w:color w:val="000000"/>
          <w:sz w:val="20"/>
        </w:rPr>
        <w:t>(i)       all Securities of such Series theretofore authenticated and delivered (other than Securities that have been destroyed, lost or stolen and that have been replaced or paid) have been delivered to the Trustee for cancellation; or</w:t>
      </w:r>
    </w:p>
    <w:p>
      <w:pPr>
        <w:pStyle w:val="TextBody"/>
        <w:bidi w:val="0"/>
        <w:spacing w:before="0" w:after="0"/>
        <w:jc w:val="left"/>
        <w:rPr>
          <w:color w:val="000000"/>
        </w:rPr>
      </w:pPr>
      <w:r>
        <w:rPr>
          <w:color w:val="000000"/>
        </w:rPr>
        <w:t> </w:t>
      </w:r>
    </w:p>
    <w:p>
      <w:pPr>
        <w:pStyle w:val="TextBody"/>
        <w:bidi w:val="0"/>
        <w:spacing w:before="0" w:after="0"/>
        <w:ind w:left="0" w:right="0" w:firstLine="2340"/>
        <w:jc w:val="left"/>
        <w:rPr>
          <w:rFonts w:ascii="Times New Roman" w:hAnsi="Times New Roman"/>
          <w:color w:val="000000"/>
          <w:sz w:val="20"/>
        </w:rPr>
      </w:pPr>
      <w:r>
        <w:rPr>
          <w:rFonts w:ascii="Times New Roman" w:hAnsi="Times New Roman"/>
          <w:color w:val="000000"/>
          <w:sz w:val="20"/>
        </w:rPr>
        <w:t>(ii)      all such Securities of such Series not theretofore delivered to the Trustee for cancellation</w:t>
      </w:r>
    </w:p>
    <w:p>
      <w:pPr>
        <w:pStyle w:val="TextBody"/>
        <w:bidi w:val="0"/>
        <w:spacing w:before="0" w:after="0"/>
        <w:jc w:val="left"/>
        <w:rPr>
          <w:color w:val="000000"/>
        </w:rPr>
      </w:pPr>
      <w:r>
        <w:rPr>
          <w:color w:val="000000"/>
        </w:rPr>
        <w:t> </w:t>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(1)          have become due and payable by reason of sending a notice of redemption or otherwise, or</w:t>
      </w:r>
    </w:p>
    <w:p>
      <w:pPr>
        <w:pStyle w:val="TextBody"/>
        <w:bidi w:val="0"/>
        <w:spacing w:before="0" w:after="0"/>
        <w:jc w:val="left"/>
        <w:rPr>
          <w:color w:val="000000"/>
        </w:rPr>
      </w:pPr>
      <w:r>
        <w:rPr>
          <w:color w:val="000000"/>
        </w:rPr>
        <w:t> </w:t>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(2)          will become due and payable at their Stated Maturity within one year, or</w:t>
      </w:r>
    </w:p>
    <w:p>
      <w:pPr>
        <w:pStyle w:val="TextBody"/>
        <w:bidi w:val="0"/>
        <w:spacing w:before="0" w:after="0"/>
        <w:jc w:val="left"/>
        <w:rPr>
          <w:color w:val="000000"/>
        </w:rPr>
      </w:pPr>
      <w:r>
        <w:rPr>
          <w:color w:val="000000"/>
        </w:rPr>
        <w:t> </w:t>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(3)          have been called for redemption or are to be called for redemption within one year under arrangements satisfactory to the Trustee for the giving of notice of redemption by the Trustee in the name, and at the expense, of the Company, or</w:t>
      </w:r>
    </w:p>
    <w:p>
      <w:pPr>
        <w:pStyle w:val="TextBody"/>
        <w:bidi w:val="0"/>
        <w:spacing w:before="0" w:after="0"/>
        <w:jc w:val="left"/>
        <w:rPr>
          <w:color w:val="000000"/>
        </w:rPr>
      </w:pPr>
      <w:r>
        <w:rPr>
          <w:color w:val="000000"/>
        </w:rPr>
        <w:t> </w:t>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(4)          are deemed paid and discharged pursuant to Section 8.3, as applicable;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Company has paid or caused to be paid all other sums payable hereunder by the Company;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Company shall have delivered to the Trustee an Officer’s Certificate and an Opinion of Counsel, each stating that all conditions precedent provided for relating to the satisfaction and discharge contemplated by this Section have been complied with.</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8.2           </w:t>
      </w:r>
      <w:r>
        <w:rPr>
          <w:rFonts w:ascii="Times New Roman" w:hAnsi="Times New Roman"/>
          <w:color w:val="000000"/>
          <w:sz w:val="20"/>
          <w:u w:val="single"/>
        </w:rPr>
        <w:t>Application of Trust Funds; Indemnification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8.3           </w:t>
      </w:r>
      <w:r>
        <w:rPr>
          <w:rFonts w:ascii="Times New Roman" w:hAnsi="Times New Roman"/>
          <w:color w:val="000000"/>
          <w:sz w:val="20"/>
          <w:u w:val="single"/>
        </w:rPr>
        <w:t>Legal Defeasance of Securities of any Series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0" w:after="0"/>
        <w:ind w:left="0" w:right="0" w:firstLine="144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provisions of Sections 2.4, 2.5, 2.7, 2.8, 7.7, 8.2, 8.3, 8.5 and 8.6;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rights, powers, trusts and immunities of the Trustee hereunder and the Company’s obligations in connection therewith;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provided that, the following conditions shall have been satisfied: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no Default or Event of Default with respect to the Securities of such Series shall have occurred and be continuing on the date of such deposit or during the period ending on the 91st day after such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the Company shall have delivered to the Trustee an Officer’s Certificate stating that the deposit was not made by the Company with the intent of defeating, hindering, delaying or defrauding any other creditors of the Company;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before="0" w:after="0"/>
        <w:ind w:left="0" w:right="0" w:firstLine="144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8.4           </w:t>
      </w:r>
      <w:r>
        <w:rPr>
          <w:rFonts w:ascii="Times New Roman" w:hAnsi="Times New Roman"/>
          <w:color w:val="000000"/>
          <w:sz w:val="20"/>
          <w:u w:val="single"/>
        </w:rPr>
        <w:t>Covenant Defeasance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no Default or Event of Default with respect to the Securities of such Series shall have occurred and be continuing on the date of such deposit;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The Company shall have delivered to the Trustee an Officer’s Certificate stating the deposit was not made by the Company with the intent of defeating, hindering, delaying or defrauding any other creditors of the Company; and</w:t>
      </w:r>
    </w:p>
    <w:p>
      <w:pPr>
        <w:pStyle w:val="TextBody"/>
        <w:bidi w:val="0"/>
        <w:spacing w:before="0" w:after="0"/>
        <w:ind w:left="0" w:right="0" w:firstLine="144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The Company shall have delivered to the Trustee an Officer’s Certificate and an Opinion of Counsel, each stating that all conditions precedent herein provided for relating to the covenant defeasance contemplated by this Section have been complied with.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8.5           </w:t>
      </w:r>
      <w:r>
        <w:rPr>
          <w:rFonts w:ascii="Times New Roman" w:hAnsi="Times New Roman"/>
          <w:color w:val="000000"/>
          <w:sz w:val="20"/>
          <w:u w:val="single"/>
        </w:rPr>
        <w:t>Repayment to Company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8.6           </w:t>
      </w:r>
      <w:r>
        <w:rPr>
          <w:rFonts w:ascii="Times New Roman" w:hAnsi="Times New Roman"/>
          <w:color w:val="000000"/>
          <w:sz w:val="20"/>
          <w:u w:val="single"/>
        </w:rPr>
        <w:t>Reinstatement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IX</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AMENDMENTS AND WAIVERS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9.1           </w:t>
      </w:r>
      <w:r>
        <w:rPr>
          <w:rFonts w:ascii="Times New Roman" w:hAnsi="Times New Roman"/>
          <w:color w:val="000000"/>
          <w:sz w:val="20"/>
          <w:u w:val="single"/>
        </w:rPr>
        <w:t>Without Consent of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and the Trustee may amend or supplement this Indenture or the Securities of one or more Series without the consent of any Securityholder: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to cure any ambiguity, defect or inconsistency as evidenced by an Officer Certificate;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to comply with Article V;</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to provide for uncertificated Securities in addition to or in place of certificated Securities;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to add guarantees with respect to Securities of any Series or secure Securities of any Series;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to surrender any of the Company’s rights or powers under this Indenture;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to add covenants or events of default for the benefit of the holders of Securities of any Series (and if such covenants or events of default are to be for the benefit of less than all Series of Securities, stating that such covenants or events of default, as applicable, are expressly being included solely for the benefit of such Series);</w:t>
      </w:r>
    </w:p>
    <w:p>
      <w:pPr>
        <w:pStyle w:val="TextBody"/>
        <w:bidi w:val="0"/>
        <w:spacing w:before="0" w:after="0"/>
        <w:ind w:left="0" w:right="0" w:firstLine="144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to comply with the applicable procedures of the applicable depositary;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to make any change that does not adversely affect the rights of any Securityholder;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to provide for the issuance of and establish the form and terms and conditions of Securities of any Series as permitted by this Indenture;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to comply with requirements of the SEC in order to effect or maintain the qualification of this Indenture under the TIA;</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(l)           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(m)         to conform any provision of this Indenture, in so far as it relates to the Securities of such Series, to the description of the Securities of such Series in the prospectus supplement relation to the offering of the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9.2           </w:t>
      </w:r>
      <w:r>
        <w:rPr>
          <w:rFonts w:ascii="Times New Roman" w:hAnsi="Times New Roman"/>
          <w:color w:val="000000"/>
          <w:sz w:val="20"/>
          <w:u w:val="single"/>
        </w:rPr>
        <w:t>With Consent of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9.3           </w:t>
      </w:r>
      <w:r>
        <w:rPr>
          <w:rFonts w:ascii="Times New Roman" w:hAnsi="Times New Roman"/>
          <w:color w:val="000000"/>
          <w:sz w:val="20"/>
          <w:u w:val="single"/>
        </w:rPr>
        <w:t>Limitations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Without the consent of each Securityholder affected, an amendment or waiver may not:</w:t>
      </w:r>
    </w:p>
    <w:p>
      <w:pPr>
        <w:pStyle w:val="TextBody"/>
        <w:bidi w:val="0"/>
        <w:spacing w:before="0" w:after="0"/>
        <w:ind w:left="0" w:right="0" w:firstLine="979"/>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reduce the principal amount of Securities whose Holders must consent to an amendment, supplement or waiver;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reduce the rate of or extend the time for payment of interest (including default interest) on any Security;</w:t>
      </w:r>
    </w:p>
    <w:p>
      <w:pPr>
        <w:pStyle w:val="TextBody"/>
        <w:bidi w:val="0"/>
        <w:spacing w:before="0" w:after="0"/>
        <w:jc w:val="left"/>
        <w:rPr>
          <w:color w:val="000000"/>
        </w:rPr>
      </w:pPr>
      <w:r>
        <w:rPr>
          <w:color w:val="00000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reduce the principal or change the Stated Maturity of any Security or reduce the amount of, or postpone the date fixed for, the payment of any sinking fund or analogous obligation;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reduce the principal amount of Discount Securities payable upon acceleration of the maturity thereof;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make the principal of or interest, if any, on any Security payable in any currency other than that stated in the Security;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make any change in Sections 6.8, 6.13 or 9.3 (this sentence);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waive a redemption payment with respect to any Security, provided that such redemption is made at the Company’s option.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9.4           </w:t>
      </w:r>
      <w:r>
        <w:rPr>
          <w:rFonts w:ascii="Times New Roman" w:hAnsi="Times New Roman"/>
          <w:color w:val="000000"/>
          <w:sz w:val="20"/>
          <w:u w:val="single"/>
        </w:rPr>
        <w:t>Compliance with Trust Indenture Act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Every amendment to this Indenture or the Securities of one or more Series shall be set forth in a supplemental indenture hereto that complies with the TIA as then in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9.5           </w:t>
      </w:r>
      <w:r>
        <w:rPr>
          <w:rFonts w:ascii="Times New Roman" w:hAnsi="Times New Roman"/>
          <w:color w:val="000000"/>
          <w:sz w:val="20"/>
          <w:u w:val="single"/>
        </w:rPr>
        <w:t>Revocation and Effect of Consents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9.6           </w:t>
      </w:r>
      <w:r>
        <w:rPr>
          <w:rFonts w:ascii="Times New Roman" w:hAnsi="Times New Roman"/>
          <w:color w:val="000000"/>
          <w:sz w:val="20"/>
          <w:u w:val="single"/>
        </w:rPr>
        <w:t>Notation on or Exchange of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9.7           </w:t>
      </w:r>
      <w:r>
        <w:rPr>
          <w:rFonts w:ascii="Times New Roman" w:hAnsi="Times New Roman"/>
          <w:color w:val="000000"/>
          <w:sz w:val="20"/>
          <w:u w:val="single"/>
        </w:rPr>
        <w:t>Trustee Protected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X</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         </w:t>
      </w:r>
      <w:r>
        <w:rPr>
          <w:rFonts w:ascii="Times New Roman" w:hAnsi="Times New Roman"/>
          <w:color w:val="000000"/>
          <w:sz w:val="20"/>
          <w:u w:val="single"/>
        </w:rPr>
        <w:t>Trust Indenture Act Controls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10.2         </w:t>
      </w:r>
      <w:r>
        <w:rPr>
          <w:rFonts w:ascii="Times New Roman" w:hAnsi="Times New Roman"/>
          <w:color w:val="000000"/>
          <w:sz w:val="20"/>
          <w:u w:val="single"/>
        </w:rPr>
        <w:t>Notices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to the Company:</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VirnetX Holding Corporation</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308 Dorla Court, Suite 206</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Zephyr Cove, Nevada 89448</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Kendall Larsen, Chief Executive Officer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Wilson Sonsini Goodrich &amp; Rosati, Professional Corporation</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650 Page Mill Road</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Palo Alto, CA 94304</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Katherine Martin</w:t>
      </w:r>
    </w:p>
    <w:p>
      <w:pPr>
        <w:pStyle w:val="TextBody"/>
        <w:bidi w:val="0"/>
        <w:spacing w:before="0" w:after="0"/>
        <w:ind w:left="144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to the Trustee:</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0"/>
        </w:rPr>
        <w:t>__________</w:t>
      </w:r>
      <w:r>
        <w:rPr>
          <w:rFonts w:ascii="Times New Roman" w:hAnsi="Times New Roman"/>
          <w:color w:val="000000"/>
          <w:sz w:val="24"/>
        </w:rPr>
        <w:t>]</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0"/>
        </w:rPr>
        <w:t>__________</w:t>
      </w:r>
      <w:r>
        <w:rPr>
          <w:rFonts w:ascii="Times New Roman" w:hAnsi="Times New Roman"/>
          <w:color w:val="000000"/>
          <w:sz w:val="24"/>
        </w:rPr>
        <w:t>]</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 xml:space="preserve">Attention: </w:t>
      </w:r>
      <w:r>
        <w:rPr>
          <w:rFonts w:ascii="Times New Roman" w:hAnsi="Times New Roman"/>
          <w:color w:val="000000"/>
          <w:sz w:val="24"/>
        </w:rPr>
        <w:t>[</w:t>
      </w:r>
      <w:r>
        <w:rPr>
          <w:rFonts w:ascii="Times New Roman" w:hAnsi="Times New Roman"/>
          <w:color w:val="000000"/>
          <w:sz w:val="20"/>
        </w:rPr>
        <w:t>__________</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or the Trustee by notice to the other may designate additional or different addresses for subsequent notices or communications.  Any notice or communication delivered to the Trustee shall be deemed effective upon actual receipt thereof.</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a notice or communication is sent or published in the manner provided above, within the time prescribed, it is duly given, whether or not the Securityholder receives it.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If the Company sends a notice or communication to Securityholders, it shall send a copy to the Trustee and each Agent at the same time.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10.3         </w:t>
      </w:r>
      <w:r>
        <w:rPr>
          <w:rFonts w:ascii="Times New Roman" w:hAnsi="Times New Roman"/>
          <w:color w:val="000000"/>
          <w:sz w:val="20"/>
          <w:u w:val="single"/>
        </w:rPr>
        <w:t>Communication by Holders with Other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10.4         </w:t>
      </w:r>
      <w:r>
        <w:rPr>
          <w:rFonts w:ascii="Times New Roman" w:hAnsi="Times New Roman"/>
          <w:color w:val="000000"/>
          <w:sz w:val="20"/>
          <w:u w:val="single"/>
        </w:rPr>
        <w:t>Certificate and Opinion as to Conditions Precedent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Upon any request or application by the Company to the Trustee to take any action under this Indenture, the Company shall furnish to the Trustee: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an Opinion of Counsel stating that, in the opinion of such counsel, all such conditions precedent have been complied with.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10.5         </w:t>
      </w:r>
      <w:r>
        <w:rPr>
          <w:rFonts w:ascii="Times New Roman" w:hAnsi="Times New Roman"/>
          <w:color w:val="000000"/>
          <w:sz w:val="20"/>
          <w:u w:val="single"/>
        </w:rPr>
        <w:t>Statements Required in Certificate or Opinion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0" w:after="0"/>
        <w:ind w:left="0" w:right="0" w:firstLine="979"/>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a statement that the person making such certificate or opinion has read such covenant or condition;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 brief statement as to the nature and scope of the examination or investigation upon which the statements or opinions contained in such certificate or opinion are based;</w:t>
      </w:r>
    </w:p>
    <w:p>
      <w:pPr>
        <w:pStyle w:val="TextBody"/>
        <w:bidi w:val="0"/>
        <w:spacing w:before="0" w:after="0"/>
        <w:jc w:val="left"/>
        <w:rPr>
          <w:color w:val="000000"/>
        </w:rPr>
      </w:pPr>
      <w:r>
        <w:rPr>
          <w:color w:val="00000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a statement as to whether or not, in the opinion of such person, such condition or covenant has been complied with.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10.6         </w:t>
      </w:r>
      <w:r>
        <w:rPr>
          <w:rFonts w:ascii="Times New Roman" w:hAnsi="Times New Roman"/>
          <w:color w:val="000000"/>
          <w:sz w:val="20"/>
          <w:u w:val="single"/>
        </w:rPr>
        <w:t>Rules by Trustee and Agents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10.7         </w:t>
      </w:r>
      <w:r>
        <w:rPr>
          <w:rFonts w:ascii="Times New Roman" w:hAnsi="Times New Roman"/>
          <w:color w:val="000000"/>
          <w:sz w:val="20"/>
          <w:u w:val="single"/>
        </w:rPr>
        <w:t>Legal Holidays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 “</w:t>
      </w:r>
      <w:r>
        <w:rPr>
          <w:rFonts w:ascii="Times New Roman" w:hAnsi="Times New Roman"/>
          <w:i/>
          <w:color w:val="000000"/>
          <w:sz w:val="20"/>
        </w:rPr>
        <w:t>Legal Holiday</w:t>
      </w:r>
      <w:r>
        <w:rPr>
          <w:rFonts w:ascii="Times New Roman" w:hAnsi="Times New Roman"/>
          <w:color w:val="000000"/>
          <w:sz w:val="20"/>
        </w:rPr>
        <w:t>”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10.8         </w:t>
      </w:r>
      <w:r>
        <w:rPr>
          <w:rFonts w:ascii="Times New Roman" w:hAnsi="Times New Roman"/>
          <w:color w:val="000000"/>
          <w:sz w:val="20"/>
          <w:u w:val="single"/>
        </w:rPr>
        <w:t>No Recourse Against Others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10.9         </w:t>
      </w:r>
      <w:r>
        <w:rPr>
          <w:rFonts w:ascii="Times New Roman" w:hAnsi="Times New Roman"/>
          <w:color w:val="000000"/>
          <w:sz w:val="20"/>
          <w:u w:val="single"/>
        </w:rPr>
        <w:t>Counterparts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10.10       </w:t>
      </w:r>
      <w:r>
        <w:rPr>
          <w:rFonts w:ascii="Times New Roman" w:hAnsi="Times New Roman"/>
          <w:color w:val="000000"/>
          <w:sz w:val="20"/>
          <w:u w:val="single"/>
        </w:rPr>
        <w:t>Governing Law; Waiver of Jury Trial; Consent to Jurisdiction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b/>
          <w:color w:val="000000"/>
          <w:sz w:val="20"/>
        </w:rPr>
      </w:pPr>
      <w:r>
        <w:rPr>
          <w:rFonts w:ascii="Times New Roman" w:hAnsi="Times New Roman"/>
          <w:b/>
          <w:color w:val="000000"/>
          <w:sz w:val="20"/>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pStyle w:val="TextBody"/>
        <w:bidi w:val="0"/>
        <w:spacing w:before="0" w:after="0"/>
        <w:jc w:val="left"/>
        <w:rPr>
          <w:b/>
        </w:rPr>
      </w:pPr>
      <w:r>
        <w:rPr>
          <w:b/>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color w:val="000000"/>
          <w:sz w:val="20"/>
        </w:rPr>
        <w:t>Specified Courts</w:t>
      </w:r>
      <w:r>
        <w:rPr>
          <w:rFonts w:ascii="Times New Roman" w:hAnsi="Times New Roman"/>
          <w:color w:val="000000"/>
          <w:sz w:val="20"/>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10.11       </w:t>
      </w:r>
      <w:r>
        <w:rPr>
          <w:rFonts w:ascii="Times New Roman" w:hAnsi="Times New Roman"/>
          <w:color w:val="000000"/>
          <w:sz w:val="20"/>
          <w:u w:val="single"/>
        </w:rPr>
        <w:t>No Adverse Interpretation of Other Agreements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10.12       </w:t>
      </w:r>
      <w:r>
        <w:rPr>
          <w:rFonts w:ascii="Times New Roman" w:hAnsi="Times New Roman"/>
          <w:color w:val="000000"/>
          <w:sz w:val="20"/>
          <w:u w:val="single"/>
        </w:rPr>
        <w:t>Successors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All agreements of the Company in this Indenture and the Securities shall bind its successor.  All agreements of the Trustee in this Indenture shall bind its successor.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10.13       </w:t>
      </w:r>
      <w:r>
        <w:rPr>
          <w:rFonts w:ascii="Times New Roman" w:hAnsi="Times New Roman"/>
          <w:color w:val="000000"/>
          <w:sz w:val="20"/>
          <w:u w:val="single"/>
        </w:rPr>
        <w:t>Severability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10.14       </w:t>
      </w:r>
      <w:r>
        <w:rPr>
          <w:rFonts w:ascii="Times New Roman" w:hAnsi="Times New Roman"/>
          <w:color w:val="000000"/>
          <w:sz w:val="20"/>
          <w:u w:val="single"/>
        </w:rPr>
        <w:t>Table of Contents, Headings, Etc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10.15       </w:t>
      </w:r>
      <w:r>
        <w:rPr>
          <w:rFonts w:ascii="Times New Roman" w:hAnsi="Times New Roman"/>
          <w:color w:val="000000"/>
          <w:sz w:val="20"/>
          <w:u w:val="single"/>
        </w:rPr>
        <w:t>Securities in a Foreign Currency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All decisions and determinations provided for in the preceding paragraph shall, in the absence of manifest error, to the extent permitted by law, be conclusive for all purposes and irrevocably binding upon the Trustee and all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10.16       </w:t>
      </w:r>
      <w:r>
        <w:rPr>
          <w:rFonts w:ascii="Times New Roman" w:hAnsi="Times New Roman"/>
          <w:color w:val="000000"/>
          <w:sz w:val="20"/>
          <w:u w:val="single"/>
        </w:rPr>
        <w:t>Judgment Currency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color w:val="000000"/>
          <w:sz w:val="20"/>
        </w:rPr>
        <w:t>Required Currency</w:t>
      </w:r>
      <w:r>
        <w:rPr>
          <w:rFonts w:ascii="Times New Roman" w:hAnsi="Times New Roman"/>
          <w:color w:val="000000"/>
          <w:sz w:val="20"/>
        </w:rPr>
        <w:t>”) into a currency in which a judgment will be rendered (the “</w:t>
      </w:r>
      <w:r>
        <w:rPr>
          <w:rFonts w:ascii="Times New Roman" w:hAnsi="Times New Roman"/>
          <w:i/>
          <w:color w:val="000000"/>
          <w:sz w:val="20"/>
        </w:rPr>
        <w:t>Judgment Currency</w:t>
      </w:r>
      <w:r>
        <w:rPr>
          <w:rFonts w:ascii="Times New Roman" w:hAnsi="Times New Roman"/>
          <w:color w:val="000000"/>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color w:val="000000"/>
          <w:sz w:val="20"/>
        </w:rPr>
        <w:t>New York Banking Day</w:t>
      </w:r>
      <w:r>
        <w:rPr>
          <w:rFonts w:ascii="Times New Roman" w:hAnsi="Times New Roman"/>
          <w:color w:val="000000"/>
          <w:sz w:val="20"/>
        </w:rPr>
        <w:t>” means any day except a Saturday, Sunday or a Legal Holiday in The City of New York on which banking institutions are authorized or required by law, regulation or executive order to close.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10.17       </w:t>
      </w:r>
      <w:r>
        <w:rPr>
          <w:rFonts w:ascii="Times New Roman" w:hAnsi="Times New Roman"/>
          <w:color w:val="000000"/>
          <w:sz w:val="20"/>
          <w:u w:val="single"/>
        </w:rPr>
        <w:t>Force Majeure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10.18       </w:t>
      </w:r>
      <w:r>
        <w:rPr>
          <w:rFonts w:ascii="Times New Roman" w:hAnsi="Times New Roman"/>
          <w:color w:val="000000"/>
          <w:sz w:val="20"/>
          <w:u w:val="single"/>
        </w:rPr>
        <w:t>U.S.A. Patriot Act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XI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SINKING FUNDS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11.1         </w:t>
      </w:r>
      <w:r>
        <w:rPr>
          <w:rFonts w:ascii="Times New Roman" w:hAnsi="Times New Roman"/>
          <w:color w:val="000000"/>
          <w:sz w:val="20"/>
          <w:u w:val="single"/>
        </w:rPr>
        <w:t>Applicability of Article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The minimum amount of any sinking fund payment provided for by the terms of the Securities of any Series is herein referred to as a “</w:t>
      </w:r>
      <w:r>
        <w:rPr>
          <w:rFonts w:ascii="Times New Roman" w:hAnsi="Times New Roman"/>
          <w:i/>
          <w:color w:val="000000"/>
          <w:sz w:val="20"/>
        </w:rPr>
        <w:t>mandatory sinking fund payment</w:t>
      </w:r>
      <w:r>
        <w:rPr>
          <w:rFonts w:ascii="Times New Roman" w:hAnsi="Times New Roman"/>
          <w:color w:val="000000"/>
          <w:sz w:val="20"/>
        </w:rPr>
        <w:t>” and any other amount provided for by the terms of Securities of such Series is herein referred to as an “</w:t>
      </w:r>
      <w:r>
        <w:rPr>
          <w:rFonts w:ascii="Times New Roman" w:hAnsi="Times New Roman"/>
          <w:i/>
          <w:color w:val="000000"/>
          <w:sz w:val="20"/>
        </w:rPr>
        <w:t>optional sinking fund payment</w:t>
      </w:r>
      <w:r>
        <w:rPr>
          <w:rFonts w:ascii="Times New Roman" w:hAnsi="Times New Roman"/>
          <w:color w:val="000000"/>
          <w:sz w:val="20"/>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11.2         </w:t>
      </w:r>
      <w:r>
        <w:rPr>
          <w:rFonts w:ascii="Times New Roman" w:hAnsi="Times New Roman"/>
          <w:color w:val="000000"/>
          <w:sz w:val="20"/>
          <w:u w:val="single"/>
        </w:rPr>
        <w:t>Satisfaction of Sinking Fund Payments with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11.3         </w:t>
      </w:r>
      <w:r>
        <w:rPr>
          <w:rFonts w:ascii="Times New Roman" w:hAnsi="Times New Roman"/>
          <w:color w:val="000000"/>
          <w:sz w:val="20"/>
          <w:u w:val="single"/>
        </w:rPr>
        <w:t>Redemption of Securities for Sinking Fund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IN WITNESS WHEREOF, the parties hereto have caused this Indenture to be duly executed as of the day and year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4" w:name="z3ca90701e3264ceea8c7e5862e9880cc"/>
      <w:bookmarkStart w:id="275" w:name="z3ca90701e3264ceea8c7e5862e9880cc"/>
      <w:bookmarkEnd w:id="275"/>
    </w:p>
    <w:tbl>
      <w:tblPr>
        <w:tblW w:w="2899" w:type="dxa"/>
        <w:jc w:val="left"/>
        <w:tblInd w:w="0" w:type="dxa"/>
        <w:tblLayout w:type="fixed"/>
        <w:tblCellMar>
          <w:top w:w="0" w:type="dxa"/>
          <w:left w:w="0" w:type="dxa"/>
          <w:bottom w:w="0" w:type="dxa"/>
          <w:right w:w="0" w:type="dxa"/>
        </w:tblCellMar>
      </w:tblPr>
      <w:tblGrid>
        <w:gridCol w:w="60"/>
        <w:gridCol w:w="967"/>
        <w:gridCol w:w="1872"/>
      </w:tblGrid>
      <w:tr>
        <w:trPr/>
        <w:tc>
          <w:tcPr>
            <w:tcW w:w="6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0"/>
              <w:jc w:val="left"/>
              <w:rPr/>
            </w:pPr>
            <w:r>
              <w:rPr/>
              <w:t>VirnetX Holding Corporation</w:t>
            </w:r>
          </w:p>
        </w:tc>
      </w:tr>
      <w:tr>
        <w:trPr/>
        <w:tc>
          <w:tcPr>
            <w:tcW w:w="6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0"/>
              <w:jc w:val="left"/>
              <w:rPr/>
            </w:pPr>
            <w:r>
              <w:rPr/>
              <w:t>By:</w:t>
            </w:r>
          </w:p>
        </w:tc>
        <w:tc>
          <w:tcPr>
            <w:tcW w:w="187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0"/>
              <w:jc w:val="left"/>
              <w:rPr/>
            </w:pPr>
            <w:r>
              <w:rPr/>
              <w:t>Name:</w:t>
            </w:r>
          </w:p>
        </w:tc>
      </w:tr>
      <w:tr>
        <w:trPr/>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0"/>
              <w:jc w:val="left"/>
              <w:rPr/>
            </w:pPr>
            <w:r>
              <w:rPr/>
              <w:t>Title:</w:t>
            </w:r>
          </w:p>
        </w:tc>
      </w:tr>
      <w:tr>
        <w:trPr/>
        <w:tc>
          <w:tcPr>
            <w:tcW w:w="6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0"/>
              <w:jc w:val="left"/>
              <w:rPr/>
            </w:pPr>
            <w:r>
              <w:rPr>
                <w:sz w:val="24"/>
              </w:rPr>
              <w:t>[__]</w:t>
            </w:r>
            <w:r>
              <w:rPr/>
              <w:t>,</w:t>
            </w:r>
          </w:p>
        </w:tc>
      </w:tr>
      <w:tr>
        <w:trPr/>
        <w:tc>
          <w:tcPr>
            <w:tcW w:w="6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0"/>
              <w:jc w:val="left"/>
              <w:rPr/>
            </w:pPr>
            <w:r>
              <w:rPr/>
              <w:t>as Trustee</w:t>
            </w:r>
          </w:p>
        </w:tc>
      </w:tr>
      <w:tr>
        <w:trPr/>
        <w:tc>
          <w:tcPr>
            <w:tcW w:w="6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0"/>
              <w:jc w:val="left"/>
              <w:rPr/>
            </w:pPr>
            <w:r>
              <w:rPr/>
              <w:t>By:</w:t>
            </w:r>
          </w:p>
        </w:tc>
        <w:tc>
          <w:tcPr>
            <w:tcW w:w="187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0"/>
              <w:jc w:val="left"/>
              <w:rPr/>
            </w:pPr>
            <w:r>
              <w:rPr/>
              <w:t>Name:</w:t>
            </w:r>
          </w:p>
        </w:tc>
      </w:tr>
      <w:tr>
        <w:trPr/>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0"/>
              <w:jc w:val="left"/>
              <w:rPr/>
            </w:pPr>
            <w:r>
              <w:rPr/>
              <w:t>Title: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76" w:name="ny20073543x1_ex5-1.htm"/>
      <w:bookmarkStart w:id="277" w:name="ksny20073543x1_ex51"/>
      <w:bookmarkStart w:id="278" w:name="ny20073543x1_ex5-1.htm"/>
      <w:bookmarkStart w:id="279" w:name="ksny20073543x1_ex51"/>
      <w:bookmarkEnd w:id="278"/>
      <w:bookmarkEnd w:id="27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0" w:name="z8da0a143f77b4240863c99b584bef9a9"/>
      <w:bookmarkStart w:id="281" w:name="z8da0a143f77b4240863c99b584bef9a9"/>
      <w:bookmarkEnd w:id="281"/>
    </w:p>
    <w:tbl>
      <w:tblPr>
        <w:tblW w:w="5135" w:type="dxa"/>
        <w:jc w:val="left"/>
        <w:tblInd w:w="0" w:type="dxa"/>
        <w:tblLayout w:type="fixed"/>
        <w:tblCellMar>
          <w:top w:w="0" w:type="dxa"/>
          <w:left w:w="0" w:type="dxa"/>
          <w:bottom w:w="0" w:type="dxa"/>
          <w:right w:w="0" w:type="dxa"/>
        </w:tblCellMar>
      </w:tblPr>
      <w:tblGrid>
        <w:gridCol w:w="1815"/>
        <w:gridCol w:w="3320"/>
      </w:tblGrid>
      <w:tr>
        <w:trPr/>
        <w:tc>
          <w:tcPr>
            <w:tcW w:w="1815" w:type="dxa"/>
            <w:tcBorders/>
            <w:vAlign w:val="center"/>
          </w:tcPr>
          <w:p>
            <w:pPr>
              <w:pStyle w:val="TableContents"/>
              <w:bidi w:val="0"/>
              <w:spacing w:before="0" w:after="0"/>
              <w:jc w:val="left"/>
              <w:rPr/>
            </w:pPr>
            <w:r>
              <w:rPr/>
              <w:drawing>
                <wp:inline distT="0" distB="0" distL="0" distR="0">
                  <wp:extent cx="115252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152525" cy="438150"/>
                          </a:xfrm>
                          <a:prstGeom prst="rect">
                            <a:avLst/>
                          </a:prstGeom>
                        </pic:spPr>
                      </pic:pic>
                    </a:graphicData>
                  </a:graphic>
                </wp:inline>
              </w:drawing>
            </w:r>
          </w:p>
        </w:tc>
        <w:tc>
          <w:tcPr>
            <w:tcW w:w="3320" w:type="dxa"/>
            <w:tcBorders/>
            <w:vAlign w:val="center"/>
          </w:tcPr>
          <w:p>
            <w:pPr>
              <w:pStyle w:val="TableContents"/>
              <w:bidi w:val="0"/>
              <w:spacing w:before="0" w:after="0"/>
              <w:jc w:val="left"/>
              <w:rPr/>
            </w:pPr>
            <w:r>
              <w:rPr/>
              <w:t>Wilson Sonsini Goodrich &amp; Rosati</w:t>
            </w:r>
          </w:p>
          <w:p>
            <w:pPr>
              <w:pStyle w:val="TableContents"/>
              <w:bidi w:val="0"/>
              <w:spacing w:before="0" w:after="0"/>
              <w:jc w:val="left"/>
              <w:rPr/>
            </w:pPr>
            <w:r>
              <w:rPr/>
              <w:t>Professional Corporation</w:t>
            </w:r>
          </w:p>
          <w:p>
            <w:pPr>
              <w:pStyle w:val="TableContents"/>
              <w:bidi w:val="0"/>
              <w:spacing w:before="0" w:after="0"/>
              <w:jc w:val="left"/>
              <w:rPr/>
            </w:pPr>
            <w:r>
              <w:rPr/>
            </w:r>
          </w:p>
          <w:p>
            <w:pPr>
              <w:pStyle w:val="TableContents"/>
              <w:bidi w:val="0"/>
              <w:spacing w:before="0" w:after="0"/>
              <w:jc w:val="left"/>
              <w:rPr/>
            </w:pPr>
            <w:r>
              <w:rPr/>
              <w:t>650 Page Mill Road</w:t>
            </w:r>
          </w:p>
          <w:p>
            <w:pPr>
              <w:pStyle w:val="TableContents"/>
              <w:bidi w:val="0"/>
              <w:spacing w:before="0" w:after="0"/>
              <w:jc w:val="left"/>
              <w:rPr/>
            </w:pPr>
            <w:r>
              <w:rPr/>
              <w:t>Palo Alto, CA 94304-1050</w:t>
            </w:r>
          </w:p>
          <w:p>
            <w:pPr>
              <w:pStyle w:val="TableContents"/>
              <w:bidi w:val="0"/>
              <w:spacing w:before="0" w:after="0"/>
              <w:jc w:val="left"/>
              <w:rPr/>
            </w:pPr>
            <w:r>
              <w:rPr/>
            </w:r>
          </w:p>
          <w:p>
            <w:pPr>
              <w:pStyle w:val="TableContents"/>
              <w:bidi w:val="0"/>
              <w:spacing w:before="0" w:after="0"/>
              <w:jc w:val="left"/>
              <w:rPr>
                <w:sz w:val="16"/>
              </w:rPr>
            </w:pPr>
            <w:r>
              <w:rPr>
                <w:smallCaps/>
                <w:sz w:val="20"/>
              </w:rPr>
              <w:t>o:</w:t>
            </w:r>
            <w:r>
              <w:rPr>
                <w:sz w:val="16"/>
              </w:rPr>
              <w:t xml:space="preserve"> </w:t>
            </w:r>
            <w:r>
              <w:rPr>
                <w:sz w:val="20"/>
              </w:rPr>
              <w:t>650.493.9300</w:t>
            </w:r>
          </w:p>
          <w:p>
            <w:pPr>
              <w:pStyle w:val="TableContents"/>
              <w:bidi w:val="0"/>
              <w:spacing w:before="0" w:after="0"/>
              <w:jc w:val="left"/>
              <w:rPr>
                <w:sz w:val="16"/>
              </w:rPr>
            </w:pPr>
            <w:r>
              <w:rPr>
                <w:smallCaps/>
                <w:sz w:val="20"/>
              </w:rPr>
              <w:t>f:</w:t>
            </w:r>
            <w:r>
              <w:rPr>
                <w:sz w:val="16"/>
              </w:rPr>
              <w:t xml:space="preserve"> </w:t>
            </w:r>
            <w:r>
              <w:rPr>
                <w:sz w:val="20"/>
              </w:rPr>
              <w:t>866.974.7329</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May 15,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VirnetX Holding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308 Dorla Court, Suite 206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Zephyr Cove, Nevada 89448</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2" w:name="z1a755b3d945645e29ed10390572a9fce"/>
      <w:bookmarkStart w:id="283" w:name="z1a755b3d945645e29ed10390572a9fce"/>
      <w:bookmarkEnd w:id="283"/>
    </w:p>
    <w:tbl>
      <w:tblPr>
        <w:tblW w:w="4113" w:type="dxa"/>
        <w:jc w:val="left"/>
        <w:tblInd w:w="0" w:type="dxa"/>
        <w:tblLayout w:type="fixed"/>
        <w:tblCellMar>
          <w:top w:w="0" w:type="dxa"/>
          <w:left w:w="0" w:type="dxa"/>
          <w:bottom w:w="0" w:type="dxa"/>
          <w:right w:w="0" w:type="dxa"/>
        </w:tblCellMar>
      </w:tblPr>
      <w:tblGrid>
        <w:gridCol w:w="38"/>
        <w:gridCol w:w="380"/>
        <w:gridCol w:w="369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b/>
              </w:rPr>
            </w:pPr>
            <w:r>
              <w:rPr>
                <w:b/>
              </w:rPr>
              <w:t>Re:</w:t>
            </w:r>
          </w:p>
        </w:tc>
        <w:tc>
          <w:tcPr>
            <w:tcW w:w="3695" w:type="dxa"/>
            <w:tcBorders/>
            <w:vAlign w:val="center"/>
          </w:tcPr>
          <w:p>
            <w:pPr>
              <w:pStyle w:val="TableContents"/>
              <w:bidi w:val="0"/>
              <w:spacing w:before="0" w:after="0"/>
              <w:jc w:val="left"/>
              <w:rPr>
                <w:b/>
              </w:rPr>
            </w:pPr>
            <w:r>
              <w:rPr>
                <w:b/>
              </w:rPr>
              <w:t>Registration Statement on Form S</w:t>
              <w:noBreakHyphen/>
              <w:t>3</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At your request, we have examined the Registration Statement on Form S</w:t>
        <w:noBreakHyphen/>
        <w:t>3 (the “Registration Statement”), filed by VirnetX Holding Corporation, a Delaware corporation (the “Company”), with the Securities and Exchange Commission (the “Commission”) in connection with the registration pursuant to the Securities Act of 1933, as amended (the “Act”), of the Securities (as defined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$20,000,000, or the equivalent thereof, of (a) shares of the Company’s common stock, $0.0001 par value per share (the “Common Stock”); (b) shares of the Company’s preferred stock, $0.0001 par value per share (the “Preferred Stock”); (c) the Company’s debt securities (the “Debt Securities”); (d) depositary shares of the Company representing a fractional interest in a share of Preferred Stock (the “Depositary Shares”); (e) warrants to purchase Common Stock (the “Warrants”); (f) subscription rights to purchase Common Stock (the “Subscription Rights”); (g) purchase contracts of the Company with respect to the securities of the Company (the “Purchase Contracts”); and (h) units consisting of two or more securities described above in any combination (the “Units”) (the Common Stock, the Preferred Stock, the Debt Securities, the Depositary Shares, the Warrants, the Subscription Rights, the Purchase Contracts and the Units are collectively referred to herein as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Securities are to be sold from time to time as set forth in the Registration Statement, the Prospectus contained therein and the Prospectus Supplements, to the extent required by applicable law and the relevant rules and regulations of the Commission.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a Current Report on Form 8</w:t>
        <w:noBreakHyphen/>
        <w:t>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pStyle w:val="TextBody"/>
        <w:bidi w:val="0"/>
        <w:spacing w:before="0" w:after="0"/>
        <w:ind w:left="0" w:right="0" w:firstLine="72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w:t>
        <w:noBreakHyphen/>
        <w:t>effective amendments), will have become effective under the Act; (e) that a Prospectus Supplement will have been filed with the Commission describing the Securities offered thereby, to the extent required by applicable law and the relevant rules and regulations of the Commission;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Based on such examination, we are of the opinion that: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           With respect to the shares of Common Stock,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2.           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 (i) in accordance with the applicable definitive purchase, underwriting or similar agreement approved by the Board or (ii) 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3.           With respect to Debt Securities to be issued under the Indenture, when: (a) the Trustee is qualified to act as Trustee under the Indenture and the Company has filed a Form T</w:t>
        <w:noBreakHyphen/>
        <w: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such Debt Securities will constitute valid and binding obligations of the Company, enforceable against the Company in accordance with their terms, and entitled to the benefits of the Indenture.</w:t>
      </w:r>
    </w:p>
    <w:p>
      <w:pPr>
        <w:pStyle w:val="TextBody"/>
        <w:bidi w:val="0"/>
        <w:spacing w:before="0" w:after="0"/>
        <w:ind w:left="0" w:right="0" w:firstLine="72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4.           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and will entitle their holders to the rights specified in the Deposit Agreement and the Depositary Receipts.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5.           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6.           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7.           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8.           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opinion that any document is legal, valid and binding is qualified as to:</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limitations imposed by bankruptcy, insolvency, reorganization, arrangement, fraudulent transfer, moratorium or other similar laws relating to or affecting the rights of creditors generally;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rights to indemnification and contribution, which may be limited by applicable law or equitable principles;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effect of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express no opinion as to the laws of any other jurisdiction, other than the federal laws of the United States of America, the laws of the State of New York as to the enforceability of the Debt Securities and the DGCL.</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hereby consent to the filing of this opinion as an exhibit to the above</w:t>
        <w:noBreakHyphen/>
        <w:t>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284" w:name="z9fac7ff07a96416f9a2f464a469418cc"/>
      <w:bookmarkStart w:id="285" w:name="z9fac7ff07a96416f9a2f464a469418cc"/>
      <w:bookmarkEnd w:id="285"/>
    </w:p>
    <w:tbl>
      <w:tblPr>
        <w:tblW w:w="4595" w:type="dxa"/>
        <w:jc w:val="left"/>
        <w:tblInd w:w="0" w:type="dxa"/>
        <w:tblLayout w:type="fixed"/>
        <w:tblCellMar>
          <w:top w:w="0" w:type="dxa"/>
          <w:left w:w="0" w:type="dxa"/>
          <w:bottom w:w="0" w:type="dxa"/>
          <w:right w:w="0" w:type="dxa"/>
        </w:tblCellMar>
      </w:tblPr>
      <w:tblGrid>
        <w:gridCol w:w="60"/>
        <w:gridCol w:w="4535"/>
      </w:tblGrid>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pPr>
            <w:r>
              <w:rPr/>
              <w:t>WILSON SONSINI GOODRICH &amp; ROSATI</w:t>
            </w:r>
          </w:p>
        </w:tc>
      </w:tr>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pPr>
            <w:r>
              <w:rPr/>
              <w:t>Professional Corporation</w:t>
            </w:r>
          </w:p>
        </w:tc>
      </w:tr>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pPr>
            <w:r>
              <w:rPr/>
              <w:t>/s/ Wilson Sonsini Goodrich &amp; Rosati, P.C</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286" w:name="ny20073543x1_ex23-1.htm"/>
      <w:bookmarkStart w:id="287" w:name="ksny20073543x1_ex231"/>
      <w:bookmarkStart w:id="288" w:name="ny20073543x1_ex23-1.htm"/>
      <w:bookmarkStart w:id="289" w:name="ksny20073543x1_ex231"/>
      <w:bookmarkEnd w:id="288"/>
      <w:bookmarkEnd w:id="28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 on Form S-3 of VirnetX Holding Corporation of our report dated March 24, 2026, with respect to the consolidated balance sheets of VirnetX Holding Corporation as of December 31, 2025 and 2024 and the related consolidated statements of operations, comprehensive loss, stockholders’ equity, and cash flows for the years then ended, which appears in the Annual Report on Form 10-K of VirnetX Holding Corporation filed with the Securities and Exchange Commission. We also consent to the reference to us under the heading “Experts” in such Registration Statement.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0" w:name="ze2f04ea42b6e4d3ab29dc4e5357e4e1d"/>
      <w:bookmarkStart w:id="291" w:name="ze2f04ea42b6e4d3ab29dc4e5357e4e1d"/>
      <w:bookmarkEnd w:id="291"/>
    </w:p>
    <w:tbl>
      <w:tblPr>
        <w:tblW w:w="2705" w:type="dxa"/>
        <w:jc w:val="left"/>
        <w:tblInd w:w="0" w:type="dxa"/>
        <w:tblLayout w:type="fixed"/>
        <w:tblCellMar>
          <w:top w:w="0" w:type="dxa"/>
          <w:left w:w="0" w:type="dxa"/>
          <w:bottom w:w="0" w:type="dxa"/>
          <w:right w:w="0" w:type="dxa"/>
        </w:tblCellMar>
      </w:tblPr>
      <w:tblGrid>
        <w:gridCol w:w="60"/>
        <w:gridCol w:w="2645"/>
      </w:tblGrid>
      <w:tr>
        <w:trPr/>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both"/>
              <w:rPr/>
            </w:pPr>
            <w:r>
              <w:rPr>
                <w:i/>
              </w:rPr>
              <w:t>/s/</w:t>
            </w:r>
            <w:r>
              <w:rPr/>
              <w:t xml:space="preserve"> Farber Hass Hurley LLP</w:t>
            </w:r>
          </w:p>
        </w:tc>
      </w:tr>
      <w:tr>
        <w:trPr/>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both"/>
              <w:rPr/>
            </w:pPr>
            <w:r>
              <w:rPr/>
              <w:t>Farber Hass Hurley LLP</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Chatsworth, California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15, 2026 </w:t>
      </w:r>
    </w:p>
    <w:p>
      <w:pPr>
        <w:pStyle w:val="HorizontalLine"/>
        <w:pBdr>
          <w:bottom w:val="single" w:sz="12" w:space="0" w:color="808080"/>
        </w:pBdr>
        <w:bidi w:val="0"/>
        <w:jc w:val="left"/>
        <w:rPr/>
      </w:pPr>
      <w:r>
        <w:rPr/>
      </w:r>
    </w:p>
    <w:p>
      <w:pPr>
        <w:pStyle w:val="HorizontalLine"/>
        <w:bidi w:val="0"/>
        <w:jc w:val="left"/>
        <w:rPr/>
      </w:pPr>
      <w:r>
        <w:rPr/>
      </w:r>
      <w:bookmarkStart w:id="292" w:name="ny20073543x1_ex107.htm"/>
      <w:bookmarkStart w:id="293" w:name="ksny20073543x1_ex107"/>
      <w:bookmarkStart w:id="294" w:name="ny20073543x1_ex107.htm"/>
      <w:bookmarkStart w:id="295" w:name="ksny20073543x1_ex107"/>
      <w:bookmarkEnd w:id="294"/>
      <w:bookmarkEnd w:id="295"/>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S-3</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pacing w:val="-3"/>
          <w:sz w:val="20"/>
        </w:rPr>
        <w:t>VirnetX Holding Corporation</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p>
      <w:pPr>
        <w:pStyle w:val="Normal"/>
        <w:bidi w:val="0"/>
        <w:spacing w:before="0" w:after="0"/>
        <w:jc w:val="left"/>
        <w:rPr>
          <w:sz w:val="4"/>
          <w:szCs w:val="4"/>
        </w:rPr>
      </w:pPr>
      <w:r>
        <w:rPr>
          <w:sz w:val="4"/>
          <w:szCs w:val="4"/>
        </w:rPr>
      </w:r>
      <w:bookmarkStart w:id="296" w:name="_Hlk228387869"/>
      <w:bookmarkStart w:id="297" w:name="_Hlk228387869"/>
      <w:bookmarkEnd w:id="297"/>
    </w:p>
    <w:tbl>
      <w:tblPr>
        <w:tblW w:w="10780" w:type="dxa"/>
        <w:jc w:val="left"/>
        <w:tblInd w:w="0" w:type="dxa"/>
        <w:tblLayout w:type="fixed"/>
        <w:tblCellMar>
          <w:top w:w="28" w:type="dxa"/>
          <w:left w:w="28" w:type="dxa"/>
          <w:bottom w:w="28" w:type="dxa"/>
          <w:right w:w="28" w:type="dxa"/>
        </w:tblCellMar>
      </w:tblPr>
      <w:tblGrid>
        <w:gridCol w:w="556"/>
        <w:gridCol w:w="226"/>
        <w:gridCol w:w="1246"/>
        <w:gridCol w:w="1381"/>
        <w:gridCol w:w="1276"/>
        <w:gridCol w:w="1186"/>
        <w:gridCol w:w="1156"/>
        <w:gridCol w:w="1306"/>
        <w:gridCol w:w="1051"/>
        <w:gridCol w:w="1396"/>
      </w:tblGrid>
      <w:tr>
        <w:trPr/>
        <w:tc>
          <w:tcPr>
            <w:tcW w:w="55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38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w:t>
            </w:r>
            <w:r>
              <w:rPr/>
              <w:t xml:space="preserve"> </w:t>
            </w:r>
          </w:p>
        </w:tc>
        <w:tc>
          <w:tcPr>
            <w:tcW w:w="13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Maximum Aggregate </w:t>
              <w:br/>
              <w:t>Offering Price</w:t>
            </w:r>
            <w:r>
              <w:rPr/>
              <w:t xml:space="preserve"> </w:t>
            </w:r>
          </w:p>
        </w:tc>
        <w:tc>
          <w:tcPr>
            <w:tcW w:w="10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9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38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$0.0001 per share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0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Equity </w:t>
            </w:r>
          </w:p>
        </w:tc>
        <w:tc>
          <w:tcPr>
            <w:tcW w:w="138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Preferred Stock, par value $0.0001 per share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Debt </w:t>
            </w:r>
          </w:p>
        </w:tc>
        <w:tc>
          <w:tcPr>
            <w:tcW w:w="138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Debt Securities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0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w:t>
            </w:r>
            <w:r>
              <w:rPr/>
              <w:t xml:space="preserve">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Equity </w:t>
            </w:r>
          </w:p>
        </w:tc>
        <w:tc>
          <w:tcPr>
            <w:tcW w:w="138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r>
              <w:rPr/>
              <w:t xml:space="preserve">Depositary Shares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38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Warrants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0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w:t>
            </w: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Other </w:t>
            </w:r>
          </w:p>
        </w:tc>
        <w:tc>
          <w:tcPr>
            <w:tcW w:w="138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Subscription Rights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r>
              <w:rPr>
                <w:spacing w:val="0"/>
              </w:rPr>
              <w:t>—</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Other </w:t>
            </w:r>
          </w:p>
        </w:tc>
        <w:tc>
          <w:tcPr>
            <w:tcW w:w="138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Purchase Contracts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0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w:t>
            </w: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Other </w:t>
            </w:r>
          </w:p>
        </w:tc>
        <w:tc>
          <w:tcPr>
            <w:tcW w:w="138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Units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1</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Unallocated (Universal) Shelf </w:t>
            </w:r>
          </w:p>
        </w:tc>
        <w:tc>
          <w:tcPr>
            <w:tcW w:w="138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457(o)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$20,000,000 </w:t>
            </w:r>
          </w:p>
        </w:tc>
        <w:tc>
          <w:tcPr>
            <w:tcW w:w="10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sz w:val="20"/>
              </w:rPr>
              <w:t>0.0001381</w:t>
            </w: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$2,762.00</w:t>
            </w: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508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$20,000,000 </w:t>
            </w:r>
          </w:p>
        </w:tc>
        <w:tc>
          <w:tcPr>
            <w:tcW w:w="10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$2,762.00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508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05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508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508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05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$2,762.00 </w:t>
            </w:r>
          </w:p>
        </w:tc>
      </w:tr>
    </w:tbl>
    <w:tbl>
      <w:tblPr>
        <w:tblW w:w="10205" w:type="dxa"/>
        <w:jc w:val="left"/>
        <w:tblInd w:w="0" w:type="dxa"/>
        <w:tblLayout w:type="fixed"/>
        <w:tblCellMar>
          <w:top w:w="28" w:type="dxa"/>
          <w:left w:w="28" w:type="dxa"/>
          <w:bottom w:w="28" w:type="dxa"/>
          <w:right w:w="28" w:type="dxa"/>
        </w:tblCellMar>
      </w:tblPr>
      <w:tblGrid>
        <w:gridCol w:w="236"/>
        <w:gridCol w:w="211"/>
        <w:gridCol w:w="9758"/>
      </w:tblGrid>
      <w:tr>
        <w:trPr/>
        <w:tc>
          <w:tcPr>
            <w:tcW w:w="23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58" w:type="dxa"/>
            <w:tcBorders/>
            <w:vAlign w:val="center"/>
          </w:tcPr>
          <w:p>
            <w:pPr>
              <w:pStyle w:val="TableContents"/>
              <w:bidi w:val="0"/>
              <w:spacing w:before="0" w:after="283"/>
              <w:jc w:val="left"/>
              <w:rPr/>
            </w:pPr>
            <w:r>
              <w:rPr/>
              <w:t> </w:t>
            </w:r>
          </w:p>
        </w:tc>
      </w:tr>
      <w:tr>
        <w:trPr/>
        <w:tc>
          <w:tcPr>
            <w:tcW w:w="23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58" w:type="dxa"/>
            <w:tcBorders/>
          </w:tcPr>
          <w:p>
            <w:pPr>
              <w:pStyle w:val="TableContents"/>
              <w:bidi w:val="0"/>
              <w:spacing w:before="0" w:after="283"/>
              <w:jc w:val="left"/>
              <w:rPr>
                <w:sz w:val="4"/>
                <w:szCs w:val="4"/>
              </w:rPr>
            </w:pPr>
            <w:r>
              <w:rPr>
                <w:sz w:val="4"/>
                <w:szCs w:val="4"/>
              </w:rPr>
            </w:r>
          </w:p>
        </w:tc>
      </w:tr>
      <w:tr>
        <w:trPr/>
        <w:tc>
          <w:tcPr>
            <w:tcW w:w="236"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211" w:type="dxa"/>
            <w:tcBorders/>
            <w:vAlign w:val="center"/>
          </w:tcPr>
          <w:p>
            <w:pPr>
              <w:pStyle w:val="TableContents"/>
              <w:bidi w:val="0"/>
              <w:spacing w:before="0" w:after="283"/>
              <w:jc w:val="left"/>
              <w:rPr>
                <w:sz w:val="20"/>
              </w:rPr>
            </w:pPr>
            <w:r>
              <w:rPr>
                <w:sz w:val="20"/>
              </w:rPr>
              <w:t>a</w:t>
            </w:r>
          </w:p>
        </w:tc>
        <w:tc>
          <w:tcPr>
            <w:tcW w:w="9758" w:type="dxa"/>
            <w:tcBorders/>
            <w:tcMar>
              <w:top w:w="0" w:type="dxa"/>
              <w:left w:w="0" w:type="dxa"/>
              <w:bottom w:w="0" w:type="dxa"/>
              <w:right w:w="0" w:type="dxa"/>
            </w:tcMar>
            <w:vAlign w:val="center"/>
          </w:tcPr>
          <w:p>
            <w:pPr>
              <w:pStyle w:val="TableContents"/>
              <w:bidi w:val="0"/>
              <w:spacing w:before="0" w:after="80"/>
              <w:jc w:val="left"/>
              <w:rPr/>
            </w:pPr>
            <w:r>
              <w:rPr>
                <w:sz w:val="20"/>
              </w:rPr>
              <w:t>The securities registered hereunder include such indeterminate number of (a) shares of common stock, (b) shares of preferred stock, (c) debt securities, (d) depositary shares, (e) warrants to purchase common stock, (f) subscription rights to purchase common stock, (g) purchase contracts, and (h)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w:t>
            </w:r>
            <w:r>
              <w:rPr/>
              <w:t xml:space="preserve"> </w:t>
            </w:r>
          </w:p>
        </w:tc>
      </w:tr>
      <w:tr>
        <w:trPr/>
        <w:tc>
          <w:tcPr>
            <w:tcW w:w="236" w:type="dxa"/>
            <w:tcBorders/>
            <w:tcMar>
              <w:top w:w="0" w:type="dxa"/>
              <w:left w:w="0" w:type="dxa"/>
              <w:bottom w:w="0" w:type="dxa"/>
              <w:right w:w="0" w:type="dxa"/>
            </w:tcMar>
            <w:vAlign w:val="center"/>
          </w:tcPr>
          <w:p>
            <w:pPr>
              <w:pStyle w:val="TableContents"/>
              <w:bidi w:val="0"/>
              <w:spacing w:before="0" w:after="80"/>
              <w:jc w:val="left"/>
              <w:rPr/>
            </w:pPr>
            <w:r>
              <w:rPr/>
              <w:t> </w:t>
            </w:r>
          </w:p>
        </w:tc>
        <w:tc>
          <w:tcPr>
            <w:tcW w:w="211" w:type="dxa"/>
            <w:tcBorders/>
            <w:vAlign w:val="center"/>
          </w:tcPr>
          <w:p>
            <w:pPr>
              <w:pStyle w:val="TableContents"/>
              <w:bidi w:val="0"/>
              <w:spacing w:before="0" w:after="283"/>
              <w:jc w:val="left"/>
              <w:rPr>
                <w:sz w:val="20"/>
              </w:rPr>
            </w:pPr>
            <w:r>
              <w:rPr>
                <w:sz w:val="20"/>
              </w:rPr>
              <w:t>b</w:t>
            </w:r>
          </w:p>
        </w:tc>
        <w:tc>
          <w:tcPr>
            <w:tcW w:w="9758" w:type="dxa"/>
            <w:tcBorders/>
            <w:tcMar>
              <w:top w:w="0" w:type="dxa"/>
              <w:left w:w="0" w:type="dxa"/>
              <w:bottom w:w="0" w:type="dxa"/>
              <w:right w:w="0" w:type="dxa"/>
            </w:tcMar>
            <w:vAlign w:val="center"/>
          </w:tcPr>
          <w:p>
            <w:pPr>
              <w:pStyle w:val="TableContents"/>
              <w:bidi w:val="0"/>
              <w:spacing w:before="0" w:after="80"/>
              <w:jc w:val="left"/>
              <w:rPr/>
            </w:pPr>
            <w:r>
              <w:rPr>
                <w:sz w:val="20"/>
              </w:rPr>
              <w:t>Pursuant to Rule 416 under the Securities Act of 1933, as amended (the “Securities Act”), this registration statement shall also cover any additional shares of the registrant’s securities that become issuable by reason of any stock splits, stock dividend or similar transaction.</w:t>
            </w:r>
            <w:r>
              <w:rPr/>
              <w:t xml:space="preserve"> </w:t>
            </w:r>
          </w:p>
        </w:tc>
      </w:tr>
      <w:tr>
        <w:trPr/>
        <w:tc>
          <w:tcPr>
            <w:tcW w:w="236" w:type="dxa"/>
            <w:tcBorders/>
            <w:tcMar>
              <w:top w:w="0" w:type="dxa"/>
              <w:left w:w="0" w:type="dxa"/>
              <w:bottom w:w="0" w:type="dxa"/>
              <w:right w:w="0" w:type="dxa"/>
            </w:tcMar>
            <w:vAlign w:val="center"/>
          </w:tcPr>
          <w:p>
            <w:pPr>
              <w:pStyle w:val="TableContents"/>
              <w:bidi w:val="0"/>
              <w:spacing w:before="0" w:after="80"/>
              <w:jc w:val="left"/>
              <w:rPr/>
            </w:pPr>
            <w:r>
              <w:rPr/>
              <w:t> </w:t>
            </w:r>
          </w:p>
        </w:tc>
        <w:tc>
          <w:tcPr>
            <w:tcW w:w="211" w:type="dxa"/>
            <w:tcBorders/>
            <w:vAlign w:val="center"/>
          </w:tcPr>
          <w:p>
            <w:pPr>
              <w:pStyle w:val="TableContents"/>
              <w:bidi w:val="0"/>
              <w:spacing w:before="0" w:after="283"/>
              <w:jc w:val="left"/>
              <w:rPr>
                <w:sz w:val="20"/>
              </w:rPr>
            </w:pPr>
            <w:r>
              <w:rPr>
                <w:sz w:val="20"/>
              </w:rPr>
              <w:t>c</w:t>
            </w:r>
          </w:p>
        </w:tc>
        <w:tc>
          <w:tcPr>
            <w:tcW w:w="9758" w:type="dxa"/>
            <w:tcBorders/>
            <w:tcMar>
              <w:top w:w="0" w:type="dxa"/>
              <w:left w:w="0" w:type="dxa"/>
              <w:bottom w:w="0" w:type="dxa"/>
              <w:right w:w="0" w:type="dxa"/>
            </w:tcMar>
            <w:vAlign w:val="center"/>
          </w:tcPr>
          <w:p>
            <w:pPr>
              <w:pStyle w:val="TableContents"/>
              <w:bidi w:val="0"/>
              <w:spacing w:before="0" w:after="80"/>
              <w:jc w:val="left"/>
              <w:rPr/>
            </w:pPr>
            <w:r>
              <w:rPr>
                <w:sz w:val="20"/>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r>
              <w:rPr/>
              <w:t xml:space="preserve"> </w:t>
            </w:r>
          </w:p>
        </w:tc>
      </w:tr>
      <w:tr>
        <w:trPr/>
        <w:tc>
          <w:tcPr>
            <w:tcW w:w="236" w:type="dxa"/>
            <w:tcBorders/>
            <w:tcMar>
              <w:top w:w="0" w:type="dxa"/>
              <w:left w:w="0" w:type="dxa"/>
              <w:bottom w:w="0" w:type="dxa"/>
              <w:right w:w="0" w:type="dxa"/>
            </w:tcMar>
            <w:vAlign w:val="center"/>
          </w:tcPr>
          <w:p>
            <w:pPr>
              <w:pStyle w:val="TableContents"/>
              <w:bidi w:val="0"/>
              <w:spacing w:before="0" w:after="80"/>
              <w:jc w:val="left"/>
              <w:rPr/>
            </w:pPr>
            <w:r>
              <w:rPr/>
              <w:t> </w:t>
            </w:r>
          </w:p>
        </w:tc>
        <w:tc>
          <w:tcPr>
            <w:tcW w:w="211" w:type="dxa"/>
            <w:tcBorders/>
            <w:vAlign w:val="center"/>
          </w:tcPr>
          <w:p>
            <w:pPr>
              <w:pStyle w:val="TableContents"/>
              <w:bidi w:val="0"/>
              <w:spacing w:before="0" w:after="283"/>
              <w:jc w:val="left"/>
              <w:rPr>
                <w:sz w:val="20"/>
              </w:rPr>
            </w:pPr>
            <w:r>
              <w:rPr>
                <w:sz w:val="20"/>
              </w:rPr>
              <w:t>d</w:t>
            </w:r>
          </w:p>
        </w:tc>
        <w:tc>
          <w:tcPr>
            <w:tcW w:w="9758" w:type="dxa"/>
            <w:tcBorders/>
            <w:tcMar>
              <w:top w:w="0" w:type="dxa"/>
              <w:left w:w="0" w:type="dxa"/>
              <w:bottom w:w="0" w:type="dxa"/>
              <w:right w:w="0" w:type="dxa"/>
            </w:tcMar>
            <w:vAlign w:val="center"/>
          </w:tcPr>
          <w:p>
            <w:pPr>
              <w:pStyle w:val="TableContents"/>
              <w:bidi w:val="0"/>
              <w:spacing w:before="0" w:after="80"/>
              <w:jc w:val="left"/>
              <w:rPr/>
            </w:pPr>
            <w:r>
              <w:rPr>
                <w:sz w:val="20"/>
              </w:rPr>
              <w:t>The maximum aggregate offering price is estimated solely for the purpose of calculating the registration fee. Subject to Rule 462(b) under the Securities Act, the maximum aggregate offering price of all securities issued by the registrant pursuant to this registration statement will not exceed $20,000,000.</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82324/000114036126010895/ef20060835_ex4-4.htm" TargetMode="External"/><Relationship Id="rId4" Type="http://schemas.openxmlformats.org/officeDocument/2006/relationships/hyperlink" Target="https://www.sec.gov/Archives/edgar/data/1082324/000114036126010895/ef20060835_10k.htm" TargetMode="External"/><Relationship Id="rId5" Type="http://schemas.openxmlformats.org/officeDocument/2006/relationships/hyperlink" Target="https://www.sec.gov/ix?doc=/Archives/edgar/data/1082324/000114036126010895/ef20060835_10k.htm" TargetMode="External"/><Relationship Id="rId6" Type="http://schemas.openxmlformats.org/officeDocument/2006/relationships/hyperlink" Target="https://www.sec.gov/ix?doc=/Archives/edgar/data/1082324/000114036126016717/ny20068164x1_def14a.htm" TargetMode="External"/><Relationship Id="rId7" Type="http://schemas.openxmlformats.org/officeDocument/2006/relationships/hyperlink" Target="https://www.sec.gov/ix?doc=/Archives/edgar/data/0001082324/000114036126021650/ef20070604_10q.htm" TargetMode="External"/><Relationship Id="rId8" Type="http://schemas.openxmlformats.org/officeDocument/2006/relationships/hyperlink" Target="https://www.sec.gov/Archives/edgar/data/1082324/000114036125035702/ef20055651_8a12b.htm" TargetMode="External"/><Relationship Id="rId9" Type="http://schemas.openxmlformats.org/officeDocument/2006/relationships/hyperlink" Target="https://www.sec.gov/Archives/edgar/data/1082324/000095013407022554/f35115exv3w1.htm" TargetMode="External"/><Relationship Id="rId10" Type="http://schemas.openxmlformats.org/officeDocument/2006/relationships/hyperlink" Target="https://www.sec.gov/Archives/edgar/data/1082324/000114036123049516/ny20013151x1_ex3-1.htm" TargetMode="External"/><Relationship Id="rId11" Type="http://schemas.openxmlformats.org/officeDocument/2006/relationships/hyperlink" Target="https://www.sec.gov/Archives/edgar/data/1082324/000114036123003118/brhc10047100_ex3-1.htm" TargetMode="External"/><Relationship Id="rId12" Type="http://schemas.openxmlformats.org/officeDocument/2006/relationships/hyperlink" Target="https://www.sec.gov/Archives/edgar/data/1082324/000114036118033981/ex4_1.htm" TargetMode="External"/><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44583</Words>
  <Characters>230258</Characters>
  <CharactersWithSpaces>277635</CharactersWithSpaces>
  <Paragraphs>3282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