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ny20068164x2_defa14a.htm"/>
      <w:bookmarkStart w:id="1" w:name="ksny20068164x2_defa14a"/>
      <w:bookmarkStart w:id="2" w:name="ny20068164x2_defa14a.htm"/>
      <w:bookmarkStart w:id="3" w:name="ksny20068164x2_defa14a"/>
      <w:bookmarkEnd w:id="2"/>
      <w:bookmarkEnd w:id="3"/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br/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Washington, D.C. 20549</w:t>
      </w:r>
    </w:p>
    <w:p>
      <w:pPr>
        <w:pStyle w:val="TextBody"/>
        <w:bidi w:val="0"/>
        <w:spacing w:before="0" w:after="0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32"/>
        </w:rPr>
      </w:pPr>
      <w:r>
        <w:rPr>
          <w:rFonts w:ascii="Times New Roman;Times;serif" w:hAnsi="Times New Roman;Times;serif"/>
          <w:b/>
          <w:color w:val="000000"/>
          <w:sz w:val="32"/>
        </w:rPr>
        <w:t>SCHEDULE 14A</w:t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t> 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PROXY STATEMENT PURSUANT TO SECTION 14(a) OF THE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SECURITIES EXCHANGE ACT OF 1934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the Registrant ☒</w:t>
      </w:r>
    </w:p>
    <w:p>
      <w:pPr>
        <w:pStyle w:val="TextBody"/>
        <w:bidi w:val="0"/>
        <w:spacing w:before="0" w:after="0"/>
        <w:jc w:val="left"/>
        <w:rPr>
          <w:rFonts w:ascii="Segoe UI Symbol;sans-serif" w:hAnsi="Segoe UI Symbol;sans-serif"/>
          <w:color w:val="000000"/>
        </w:rPr>
      </w:pPr>
      <w:r>
        <w:rPr>
          <w:rFonts w:ascii="Segoe UI Symbol;sans-serif" w:hAnsi="Segoe UI Symbol;sans-serif"/>
          <w:color w:val="000000"/>
        </w:rPr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a Party other than the Registrant  ☐</w:t>
      </w:r>
    </w:p>
    <w:p>
      <w:pPr>
        <w:pStyle w:val="TextBody"/>
        <w:bidi w:val="0"/>
        <w:spacing w:before="0" w:after="0"/>
        <w:jc w:val="left"/>
        <w:rPr>
          <w:rFonts w:ascii="Segoe UI Symbol;sans-serif" w:hAnsi="Segoe UI Symbol;sans-serif"/>
          <w:color w:val="000000"/>
        </w:rPr>
      </w:pPr>
      <w:r>
        <w:rPr>
          <w:rFonts w:ascii="Segoe UI Symbol;sans-serif" w:hAnsi="Segoe UI Symbol;sans-serif"/>
          <w:color w:val="000000"/>
        </w:rPr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Check the appropriate box: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zd676abe510794f91bd66548543d6cb1a"/>
      <w:bookmarkStart w:id="5" w:name="zd676abe510794f91bd66548543d6cb1a"/>
      <w:bookmarkEnd w:id="5"/>
    </w:p>
    <w:tbl>
      <w:tblPr>
        <w:tblW w:w="839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8105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Preliminary Proxy Statement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Definitive Proxy Statement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Definitive Additional Materials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Soliciting Material under Section 240.14a-12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z3932a164b3f14b90a6a324931bbbb2aa"/>
      <w:bookmarkStart w:id="7" w:name="z3932a164b3f14b90a6a324931bbbb2aa"/>
      <w:bookmarkEnd w:id="7"/>
    </w:p>
    <w:tbl>
      <w:tblPr>
        <w:tblW w:w="7340" w:type="dxa"/>
        <w:jc w:val="center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7340"/>
      </w:tblGrid>
      <w:tr>
        <w:trPr/>
        <w:tc>
          <w:tcPr>
            <w:tcW w:w="7340" w:type="dxa"/>
            <w:tcBorders>
              <w:bottom w:val="single" w:sz="12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00"/>
                <w:sz w:val="36"/>
              </w:rPr>
            </w:pPr>
            <w:r>
              <w:rPr>
                <w:b/>
                <w:color w:val="000000"/>
                <w:sz w:val="36"/>
              </w:rPr>
              <w:t>VirnetX Holding Corporation</w:t>
            </w:r>
          </w:p>
        </w:tc>
      </w:tr>
      <w:tr>
        <w:trPr/>
        <w:tc>
          <w:tcPr>
            <w:tcW w:w="734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(Name of Registrant as Specified In Its Charter)</w:t>
            </w:r>
          </w:p>
        </w:tc>
      </w:tr>
      <w:tr>
        <w:trPr/>
        <w:tc>
          <w:tcPr>
            <w:tcW w:w="734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7340" w:type="dxa"/>
            <w:tcBorders>
              <w:bottom w:val="single" w:sz="12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 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/>
        <w:tc>
          <w:tcPr>
            <w:tcW w:w="734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(Name of Person(s) Filing Proxy Statement, if other than the Registrant)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Payment of Filing Fee (Check the appropriate box):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8" w:name="z52103b9d6c904b6b8b2ed0d19e10b720"/>
      <w:bookmarkStart w:id="9" w:name="z52103b9d6c904b6b8b2ed0d19e10b720"/>
      <w:bookmarkEnd w:id="9"/>
    </w:p>
    <w:tbl>
      <w:tblPr>
        <w:tblW w:w="1001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9725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97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No fee required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97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Fee paid previously with preliminary materials: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97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715250" cy="80105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715250" cy="782955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782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  <w:font w:name="Segoe UI Symbo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132</Words>
  <Characters>726</Characters>
  <CharactersWithSpaces>841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