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184150</wp:posOffset>
            </wp:positionV>
            <wp:extent cx="10629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224790</wp:posOffset>
            </wp:positionV>
            <wp:extent cx="10629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203200</wp:posOffset>
            </wp:positionV>
            <wp:extent cx="10629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VirnetX Holding Corporation</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193040</wp:posOffset>
            </wp:positionV>
            <wp:extent cx="10629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7"/>
          <w:szCs w:val="17"/>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680"/>
        <w:spacing w:after="0"/>
        <w:rPr>
          <w:sz w:val="20"/>
          <w:szCs w:val="20"/>
          <w:color w:val="auto"/>
        </w:rPr>
      </w:pPr>
      <w:r>
        <w:rPr>
          <w:rFonts w:ascii="Times New Roman" w:cs="Times New Roman" w:eastAsia="Times New Roman" w:hAnsi="Times New Roman"/>
          <w:sz w:val="18"/>
          <w:szCs w:val="18"/>
          <w:b w:val="1"/>
          <w:bCs w:val="1"/>
          <w:color w:val="auto"/>
        </w:rPr>
        <w:t>001-33852</w:t>
      </w:r>
    </w:p>
    <w:p>
      <w:pPr>
        <w:spacing w:after="0" w:line="31"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7"/>
          <w:szCs w:val="17"/>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400"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77-0390628</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7"/>
          <w:szCs w:val="17"/>
          <w:b w:val="1"/>
          <w:bCs w:val="1"/>
          <w:color w:val="auto"/>
        </w:rPr>
        <w:t>(IRS Employer Identification No.)</w:t>
      </w:r>
    </w:p>
    <w:p>
      <w:pPr>
        <w:spacing w:after="0" w:line="200" w:lineRule="exact"/>
        <w:rPr>
          <w:sz w:val="24"/>
          <w:szCs w:val="24"/>
          <w:color w:val="auto"/>
        </w:rPr>
      </w:pPr>
    </w:p>
    <w:p>
      <w:pPr>
        <w:sectPr>
          <w:pgSz w:w="11900" w:h="16838" w:orient="portrait"/>
          <w:cols w:equalWidth="0" w:num="3">
            <w:col w:w="3860" w:space="720"/>
            <w:col w:w="2780" w:space="720"/>
            <w:col w:w="3160"/>
          </w:cols>
          <w:pgMar w:left="320" w:top="516"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308 Dorla Court, Suite 206</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Zephyr Cove, Nevada 89448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(775) 548-1785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60" w:right="2860" w:hanging="3552"/>
        <w:spacing w:after="0" w:line="511" w:lineRule="auto"/>
        <w:tabs>
          <w:tab w:leader="none" w:pos="3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0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8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60" w:type="dxa"/>
            <w:vAlign w:val="bottom"/>
            <w:tcBorders>
              <w:top w:val="single" w:sz="8" w:color="auto"/>
              <w:bottom w:val="single" w:sz="8" w:color="auto"/>
            </w:tcBorders>
          </w:tcPr>
          <w:p>
            <w:pPr>
              <w:spacing w:after="0"/>
              <w:rPr>
                <w:sz w:val="20"/>
                <w:szCs w:val="20"/>
                <w:color w:val="auto"/>
              </w:rPr>
            </w:pPr>
          </w:p>
        </w:tc>
        <w:tc>
          <w:tcPr>
            <w:tcW w:w="4780" w:type="dxa"/>
            <w:vAlign w:val="bottom"/>
            <w:tcBorders>
              <w:top w:val="single" w:sz="8" w:color="auto"/>
              <w:bottom w:val="single" w:sz="8" w:color="auto"/>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760" w:type="dxa"/>
            <w:vAlign w:val="bottom"/>
            <w:tcBorders>
              <w:bottom w:val="single" w:sz="8" w:color="auto"/>
            </w:tcBorders>
          </w:tcPr>
          <w:p>
            <w:pPr>
              <w:spacing w:after="0"/>
              <w:rPr>
                <w:sz w:val="19"/>
                <w:szCs w:val="19"/>
                <w:color w:val="auto"/>
              </w:rPr>
            </w:pPr>
          </w:p>
        </w:tc>
        <w:tc>
          <w:tcPr>
            <w:tcW w:w="1420" w:type="dxa"/>
            <w:vAlign w:val="bottom"/>
            <w:tcBorders>
              <w:bottom w:val="single" w:sz="8" w:color="auto"/>
              <w:right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9"/>
              </w:rPr>
              <w:t>VHC</w:t>
            </w:r>
          </w:p>
        </w:tc>
        <w:tc>
          <w:tcPr>
            <w:tcW w:w="260" w:type="dxa"/>
            <w:vAlign w:val="bottom"/>
            <w:tcBorders>
              <w:bottom w:val="single" w:sz="8" w:color="auto"/>
            </w:tcBorders>
          </w:tcPr>
          <w:p>
            <w:pPr>
              <w:spacing w:after="0"/>
              <w:rPr>
                <w:sz w:val="19"/>
                <w:szCs w:val="19"/>
                <w:color w:val="auto"/>
              </w:rPr>
            </w:pPr>
          </w:p>
        </w:tc>
        <w:tc>
          <w:tcPr>
            <w:tcW w:w="4780" w:type="dxa"/>
            <w:vAlign w:val="bottom"/>
            <w:tcBorders>
              <w:bottom w:val="single" w:sz="8" w:color="auto"/>
              <w:right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8"/>
              </w:rPr>
              <w:t>NASDAQ</w:t>
            </w:r>
          </w:p>
        </w:tc>
      </w:tr>
      <w:tr>
        <w:trPr>
          <w:trHeight w:val="318"/>
        </w:trPr>
        <w:tc>
          <w:tcPr>
            <w:tcW w:w="4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780" w:type="dxa"/>
            <w:vAlign w:val="bottom"/>
          </w:tcPr>
          <w:p>
            <w:pPr>
              <w:spacing w:after="0"/>
              <w:rPr>
                <w:sz w:val="24"/>
                <w:szCs w:val="24"/>
                <w:color w:val="auto"/>
              </w:rPr>
            </w:pPr>
          </w:p>
        </w:tc>
      </w:tr>
    </w:tbl>
    <w:p>
      <w:pPr>
        <w:spacing w:after="0" w:line="2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 230.405 of this chapter) or Rule 12b-2 of the Securities Exchange Act of 1934 (§ 240.12b-2 of this chapter).</w:t>
      </w:r>
    </w:p>
    <w:p>
      <w:pPr>
        <w:spacing w:after="0" w:line="121"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type w:val="continuous"/>
        </w:sectPr>
      </w:pPr>
    </w:p>
    <w:bookmarkStart w:id="1" w:name="page2"/>
    <w:bookmarkEnd w:id="1"/>
    <w:p>
      <w:pPr>
        <w:ind w:left="1140" w:right="40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5.02.</w:t>
        <w:tab/>
        <w:t>DEPARTURE OF DIRECTORS OR CERTAIN OFFICERS; ELECTION OF DIRECTORS; APPOINTMENT OF CERTAIN OFFICERS; COMPENSATORY ARRANGEMENTS OF CERTAIN OFFICERS.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Approval of an Amendment to the Amended and Restated 2013 Equity Incentive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11, 2026, VirnetX Holding Corporation (the “Company”) held its 2026 annual meeting of stockholders (the “2026 Annual Meeting”). At the 2026 Annual Meeting, the Company’s stockholders approved an amendment to the Company’s Amended and Restated 2013 Equity Incentive Plan (the “Plan”) to increase the number of shares of the Company’s common stock reserved for issuance under the Plan by 1,000,000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foregoing description of the Plan is qualified in its entirety by reference to the full text of the amended and restated Plan, filed as </w:t>
      </w:r>
      <w:r>
        <w:rPr>
          <w:rFonts w:ascii="Times New Roman" w:cs="Times New Roman" w:eastAsia="Times New Roman" w:hAnsi="Times New Roman"/>
          <w:sz w:val="18"/>
          <w:szCs w:val="18"/>
          <w:u w:val="single" w:color="auto"/>
          <w:color w:val="auto"/>
        </w:rPr>
        <w:t>Exhibit 10.1</w:t>
      </w:r>
      <w:r>
        <w:rPr>
          <w:rFonts w:ascii="Times New Roman" w:cs="Times New Roman" w:eastAsia="Times New Roman" w:hAnsi="Times New Roman"/>
          <w:sz w:val="18"/>
          <w:szCs w:val="18"/>
          <w:color w:val="auto"/>
        </w:rPr>
        <w:t xml:space="preserve"> hereto.</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Present at the 2026 Annual Meeting in person or by proxy were holders of 2,639,678 shares of the Company’s common stock, representing 63.06% of the voting power of the shares of the Company’s common stock as of April 16, 2026, the record date for the 2026 Annual Meeting, and constituting a quorum for the transaction of business. The matters that were voted upon at the 2026 Annual Meeting, and the number of votes cast for, against or withheld, as well as the number of abstentions and broker non-votes as to each such matter, where applicable, are set forth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2026 Annual Meeting, the Company’s stockholders (i) elected the Company’s Class I director nominees, (ii) ratified the appointment of Farber Hass Hurley LLP as the Company’s independent registered accounting firm for the fiscal year ending December 31, 2026, (iii) approved, on an advisory basis, the compensation of the Company’s named executive officers, and (iv) approved an amendment to the Plan to increase the share reserve.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Election of two Class I directors to serve until the 2029 Annual Meeting of Stockholders: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20" w:type="dxa"/>
            <w:vAlign w:val="bottom"/>
          </w:tcPr>
          <w:p>
            <w:pPr>
              <w:spacing w:after="0"/>
              <w:rPr>
                <w:sz w:val="20"/>
                <w:szCs w:val="20"/>
                <w:color w:val="auto"/>
              </w:rPr>
            </w:pPr>
          </w:p>
        </w:tc>
        <w:tc>
          <w:tcPr>
            <w:tcW w:w="27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Votes For</w:t>
            </w:r>
          </w:p>
        </w:tc>
        <w:tc>
          <w:tcPr>
            <w:tcW w:w="320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Votes Withheld</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16"/>
        </w:trPr>
        <w:tc>
          <w:tcPr>
            <w:tcW w:w="2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Kendall Larsen</w:t>
            </w:r>
          </w:p>
        </w:tc>
        <w:tc>
          <w:tcPr>
            <w:tcW w:w="250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1,229,553</w:t>
            </w:r>
          </w:p>
        </w:tc>
        <w:tc>
          <w:tcPr>
            <w:tcW w:w="220" w:type="dxa"/>
            <w:vAlign w:val="bottom"/>
            <w:tcBorders>
              <w:top w:val="single" w:sz="8" w:color="CCEEFF"/>
            </w:tcBorders>
            <w:shd w:val="clear" w:color="auto" w:fill="CCEEFF"/>
          </w:tcPr>
          <w:p>
            <w:pPr>
              <w:spacing w:after="0"/>
              <w:rPr>
                <w:sz w:val="18"/>
                <w:szCs w:val="18"/>
                <w:color w:val="auto"/>
              </w:rPr>
            </w:pPr>
          </w:p>
        </w:tc>
        <w:tc>
          <w:tcPr>
            <w:tcW w:w="3000" w:type="dxa"/>
            <w:vAlign w:val="bottom"/>
            <w:tcBorders>
              <w:top w:val="single" w:sz="8" w:color="auto"/>
            </w:tcBorders>
            <w:shd w:val="clear" w:color="auto" w:fill="CCEEFF"/>
          </w:tcPr>
          <w:p>
            <w:pPr>
              <w:jc w:val="right"/>
              <w:ind w:right="1170"/>
              <w:spacing w:after="0"/>
              <w:rPr>
                <w:sz w:val="20"/>
                <w:szCs w:val="20"/>
                <w:color w:val="auto"/>
              </w:rPr>
            </w:pPr>
            <w:r>
              <w:rPr>
                <w:rFonts w:ascii="Times New Roman" w:cs="Times New Roman" w:eastAsia="Times New Roman" w:hAnsi="Times New Roman"/>
                <w:sz w:val="18"/>
                <w:szCs w:val="18"/>
                <w:color w:val="auto"/>
              </w:rPr>
              <w:t>45,508</w:t>
            </w:r>
          </w:p>
        </w:tc>
        <w:tc>
          <w:tcPr>
            <w:tcW w:w="20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1,364,617</w:t>
            </w:r>
          </w:p>
        </w:tc>
      </w:tr>
      <w:tr>
        <w:trPr>
          <w:trHeight w:val="234"/>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Gary W. Feiner</w:t>
            </w:r>
          </w:p>
        </w:tc>
        <w:tc>
          <w:tcPr>
            <w:tcW w:w="25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1,137,272</w:t>
            </w:r>
          </w:p>
        </w:tc>
        <w:tc>
          <w:tcPr>
            <w:tcW w:w="220" w:type="dxa"/>
            <w:vAlign w:val="bottom"/>
          </w:tcPr>
          <w:p>
            <w:pPr>
              <w:spacing w:after="0"/>
              <w:rPr>
                <w:sz w:val="20"/>
                <w:szCs w:val="20"/>
                <w:color w:val="auto"/>
              </w:rPr>
            </w:pPr>
          </w:p>
        </w:tc>
        <w:tc>
          <w:tcPr>
            <w:tcW w:w="30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137,789</w:t>
            </w:r>
          </w:p>
        </w:tc>
        <w:tc>
          <w:tcPr>
            <w:tcW w:w="200" w:type="dxa"/>
            <w:vAlign w:val="bottom"/>
          </w:tcPr>
          <w:p>
            <w:pPr>
              <w:spacing w:after="0"/>
              <w:rPr>
                <w:sz w:val="20"/>
                <w:szCs w:val="20"/>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1,364,617</w:t>
            </w:r>
          </w:p>
        </w:tc>
      </w:tr>
    </w:tbl>
    <w:p>
      <w:pPr>
        <w:spacing w:after="0" w:line="1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Proposal 2: Ratification of the appointment of Farber Hass Hurley LLP as the Company’s independent registered public accounting firm for the fiscal year ending December 31, 2026:</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0" w:type="dxa"/>
            <w:vAlign w:val="bottom"/>
          </w:tcPr>
          <w:p>
            <w:pPr>
              <w:spacing w:after="0"/>
              <w:rPr>
                <w:sz w:val="20"/>
                <w:szCs w:val="20"/>
                <w:color w:val="auto"/>
              </w:rPr>
            </w:pPr>
          </w:p>
        </w:tc>
        <w:tc>
          <w:tcPr>
            <w:tcW w:w="30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Votes For</w:t>
            </w:r>
          </w:p>
        </w:tc>
        <w:tc>
          <w:tcPr>
            <w:tcW w:w="39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Votes Against</w:t>
            </w:r>
          </w:p>
        </w:tc>
        <w:tc>
          <w:tcPr>
            <w:tcW w:w="3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Abstentions</w:t>
            </w:r>
          </w:p>
        </w:tc>
      </w:tr>
      <w:tr>
        <w:trPr>
          <w:trHeight w:val="216"/>
        </w:trPr>
        <w:tc>
          <w:tcPr>
            <w:tcW w:w="34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2,486,962</w:t>
            </w:r>
          </w:p>
        </w:tc>
        <w:tc>
          <w:tcPr>
            <w:tcW w:w="3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right"/>
              <w:ind w:right="1410"/>
              <w:spacing w:after="0"/>
              <w:rPr>
                <w:sz w:val="20"/>
                <w:szCs w:val="20"/>
                <w:color w:val="auto"/>
              </w:rPr>
            </w:pPr>
            <w:r>
              <w:rPr>
                <w:rFonts w:ascii="Times New Roman" w:cs="Times New Roman" w:eastAsia="Times New Roman" w:hAnsi="Times New Roman"/>
                <w:sz w:val="18"/>
                <w:szCs w:val="18"/>
                <w:color w:val="auto"/>
              </w:rPr>
              <w:t>140,839</w:t>
            </w:r>
          </w:p>
        </w:tc>
        <w:tc>
          <w:tcPr>
            <w:tcW w:w="320" w:type="dxa"/>
            <w:vAlign w:val="bottom"/>
            <w:tcBorders>
              <w:top w:val="single" w:sz="8" w:color="CCEEFF"/>
            </w:tcBorders>
            <w:shd w:val="clear" w:color="auto" w:fill="CCEEFF"/>
          </w:tcPr>
          <w:p>
            <w:pPr>
              <w:spacing w:after="0"/>
              <w:rPr>
                <w:sz w:val="18"/>
                <w:szCs w:val="18"/>
                <w:color w:val="auto"/>
              </w:rPr>
            </w:pPr>
          </w:p>
        </w:tc>
        <w:tc>
          <w:tcPr>
            <w:tcW w:w="3960" w:type="dxa"/>
            <w:vAlign w:val="bottom"/>
            <w:tcBorders>
              <w:top w:val="single" w:sz="8" w:color="auto"/>
            </w:tcBorders>
            <w:shd w:val="clear" w:color="auto" w:fill="CCEEFF"/>
          </w:tcPr>
          <w:p>
            <w:pPr>
              <w:jc w:val="right"/>
              <w:ind w:right="1650"/>
              <w:spacing w:after="0"/>
              <w:rPr>
                <w:sz w:val="20"/>
                <w:szCs w:val="20"/>
                <w:color w:val="auto"/>
              </w:rPr>
            </w:pPr>
            <w:r>
              <w:rPr>
                <w:rFonts w:ascii="Times New Roman" w:cs="Times New Roman" w:eastAsia="Times New Roman" w:hAnsi="Times New Roman"/>
                <w:sz w:val="18"/>
                <w:szCs w:val="18"/>
                <w:color w:val="auto"/>
              </w:rPr>
              <w:t>11,877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 Advisory vote to approve the compensation of the Company’s named executive officers: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0" w:type="dxa"/>
            <w:vAlign w:val="bottom"/>
          </w:tcPr>
          <w:p>
            <w:pPr>
              <w:spacing w:after="0"/>
              <w:rPr>
                <w:sz w:val="20"/>
                <w:szCs w:val="20"/>
                <w:color w:val="auto"/>
              </w:rPr>
            </w:pPr>
          </w:p>
        </w:tc>
        <w:tc>
          <w:tcPr>
            <w:tcW w:w="23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Votes For</w:t>
            </w:r>
          </w:p>
        </w:tc>
        <w:tc>
          <w:tcPr>
            <w:tcW w:w="2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Votes Against</w:t>
            </w:r>
          </w:p>
        </w:tc>
        <w:tc>
          <w:tcPr>
            <w:tcW w:w="3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Abstentions</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16"/>
        </w:trPr>
        <w:tc>
          <w:tcPr>
            <w:tcW w:w="34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1,177,363</w:t>
            </w:r>
          </w:p>
        </w:tc>
        <w:tc>
          <w:tcPr>
            <w:tcW w:w="20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93,643</w:t>
            </w:r>
          </w:p>
        </w:tc>
        <w:tc>
          <w:tcPr>
            <w:tcW w:w="22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4,055</w:t>
            </w:r>
          </w:p>
        </w:tc>
        <w:tc>
          <w:tcPr>
            <w:tcW w:w="18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1,364,617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4: Approval of the amendment to the Company’s Amended and Restated 2013 Equity Incentive Plan: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0" w:type="dxa"/>
            <w:vAlign w:val="bottom"/>
          </w:tcPr>
          <w:p>
            <w:pPr>
              <w:spacing w:after="0"/>
              <w:rPr>
                <w:sz w:val="20"/>
                <w:szCs w:val="20"/>
                <w:color w:val="auto"/>
              </w:rPr>
            </w:pPr>
          </w:p>
        </w:tc>
        <w:tc>
          <w:tcPr>
            <w:tcW w:w="236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Votes For</w:t>
            </w:r>
          </w:p>
        </w:tc>
        <w:tc>
          <w:tcPr>
            <w:tcW w:w="29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7"/>
              </w:rPr>
              <w:t>Votes Against</w:t>
            </w:r>
          </w:p>
        </w:tc>
        <w:tc>
          <w:tcPr>
            <w:tcW w:w="3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Abstentions</w:t>
            </w: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Broker Non-Votes</w:t>
            </w:r>
          </w:p>
        </w:tc>
      </w:tr>
      <w:tr>
        <w:trPr>
          <w:trHeight w:val="216"/>
        </w:trPr>
        <w:tc>
          <w:tcPr>
            <w:tcW w:w="34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1,014,822</w:t>
            </w:r>
          </w:p>
        </w:tc>
        <w:tc>
          <w:tcPr>
            <w:tcW w:w="20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254,814</w:t>
            </w:r>
          </w:p>
        </w:tc>
        <w:tc>
          <w:tcPr>
            <w:tcW w:w="22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auto"/>
            </w:tcBorders>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5,425</w:t>
            </w:r>
          </w:p>
        </w:tc>
        <w:tc>
          <w:tcPr>
            <w:tcW w:w="18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1,364,617</w:t>
            </w:r>
          </w:p>
        </w:tc>
      </w:tr>
      <w:tr>
        <w:trPr>
          <w:trHeight w:val="398"/>
        </w:trPr>
        <w:tc>
          <w:tcPr>
            <w:tcW w:w="3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49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9"/>
        </w:trPr>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Incorporated by Reference Herein</w:t>
            </w:r>
          </w:p>
        </w:tc>
        <w:tc>
          <w:tcPr>
            <w:tcW w:w="1220" w:type="dxa"/>
            <w:vAlign w:val="bottom"/>
          </w:tcPr>
          <w:p>
            <w:pPr>
              <w:spacing w:after="0"/>
              <w:rPr>
                <w:sz w:val="24"/>
                <w:szCs w:val="24"/>
                <w:color w:val="auto"/>
              </w:rPr>
            </w:pPr>
          </w:p>
        </w:tc>
      </w:tr>
      <w:tr>
        <w:trPr>
          <w:trHeight w:val="194"/>
        </w:trPr>
        <w:tc>
          <w:tcPr>
            <w:tcW w:w="9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Exhibit</w:t>
            </w:r>
          </w:p>
        </w:tc>
        <w:tc>
          <w:tcPr>
            <w:tcW w:w="4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b w:val="1"/>
                <w:bCs w:val="1"/>
                <w:color w:val="auto"/>
              </w:rPr>
              <w:t>Exhibit</w:t>
            </w:r>
          </w:p>
        </w:tc>
        <w:tc>
          <w:tcPr>
            <w:tcW w:w="880" w:type="dxa"/>
            <w:vAlign w:val="bottom"/>
          </w:tcPr>
          <w:p>
            <w:pPr>
              <w:ind w:left="220"/>
              <w:spacing w:after="0" w:line="194" w:lineRule="exact"/>
              <w:rPr>
                <w:sz w:val="20"/>
                <w:szCs w:val="20"/>
                <w:color w:val="auto"/>
              </w:rPr>
            </w:pPr>
            <w:r>
              <w:rPr>
                <w:rFonts w:ascii="Times New Roman" w:cs="Times New Roman" w:eastAsia="Times New Roman" w:hAnsi="Times New Roman"/>
                <w:sz w:val="18"/>
                <w:szCs w:val="18"/>
                <w:b w:val="1"/>
                <w:bCs w:val="1"/>
                <w:color w:val="auto"/>
              </w:rPr>
              <w:t>Filing</w:t>
            </w:r>
          </w:p>
        </w:tc>
        <w:tc>
          <w:tcPr>
            <w:tcW w:w="1320" w:type="dxa"/>
            <w:vAlign w:val="bottom"/>
          </w:tcPr>
          <w:p>
            <w:pPr>
              <w:spacing w:after="0"/>
              <w:rPr>
                <w:sz w:val="16"/>
                <w:szCs w:val="16"/>
                <w:color w:val="auto"/>
              </w:rPr>
            </w:pPr>
          </w:p>
        </w:tc>
        <w:tc>
          <w:tcPr>
            <w:tcW w:w="12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Filed</w:t>
            </w:r>
          </w:p>
        </w:tc>
      </w:tr>
      <w:tr>
        <w:trPr>
          <w:trHeight w:val="245"/>
        </w:trPr>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4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76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No.</w:t>
            </w:r>
          </w:p>
        </w:tc>
        <w:tc>
          <w:tcPr>
            <w:tcW w:w="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Herewith</w:t>
            </w:r>
          </w:p>
        </w:tc>
      </w:tr>
      <w:tr>
        <w:trPr>
          <w:trHeight w:val="176"/>
        </w:trPr>
        <w:tc>
          <w:tcPr>
            <w:tcW w:w="9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p>
        </w:tc>
        <w:tc>
          <w:tcPr>
            <w:tcW w:w="496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Amended and Restated 2013 Equity Incentive Plan, as amended.</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20" w:type="dxa"/>
            <w:vAlign w:val="bottom"/>
          </w:tcPr>
          <w:p>
            <w:pPr>
              <w:ind w:left="540"/>
              <w:spacing w:after="0" w:line="176" w:lineRule="exact"/>
              <w:rPr>
                <w:sz w:val="20"/>
                <w:szCs w:val="20"/>
                <w:color w:val="auto"/>
              </w:rPr>
            </w:pPr>
            <w:r>
              <w:rPr>
                <w:rFonts w:ascii="Times New Roman" w:cs="Times New Roman" w:eastAsia="Times New Roman" w:hAnsi="Times New Roman"/>
                <w:sz w:val="18"/>
                <w:szCs w:val="18"/>
                <w:color w:val="auto"/>
              </w:rPr>
              <w:t>X</w:t>
            </w:r>
          </w:p>
        </w:tc>
      </w:tr>
      <w:tr>
        <w:trPr>
          <w:trHeight w:val="237"/>
        </w:trPr>
        <w:tc>
          <w:tcPr>
            <w:tcW w:w="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104</w:t>
            </w:r>
          </w:p>
        </w:tc>
        <w:tc>
          <w:tcPr>
            <w:tcW w:w="640" w:type="dxa"/>
            <w:vAlign w:val="bottom"/>
          </w:tcPr>
          <w:p>
            <w:pPr>
              <w:spacing w:after="0"/>
              <w:rPr>
                <w:sz w:val="20"/>
                <w:szCs w:val="20"/>
                <w:color w:val="auto"/>
              </w:rPr>
            </w:pPr>
          </w:p>
        </w:tc>
        <w:tc>
          <w:tcPr>
            <w:tcW w:w="49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98"/>
        </w:trPr>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VirnetX Holding Corporation</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Kendall Larsen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Kendall Larsen</w:t>
      </w:r>
    </w:p>
    <w:p>
      <w:pPr>
        <w:spacing w:after="0" w:line="3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VIRNETX HOLDING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2013 EQUITY INCENTIVE PLAN</w:t>
      </w:r>
    </w:p>
    <w:p>
      <w:pPr>
        <w:spacing w:after="0" w:line="207" w:lineRule="exact"/>
        <w:rPr>
          <w:sz w:val="20"/>
          <w:szCs w:val="20"/>
          <w:color w:val="auto"/>
        </w:rPr>
      </w:pPr>
    </w:p>
    <w:p>
      <w:pPr>
        <w:ind w:left="640" w:hanging="27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Purposes of the Plan</w:t>
      </w:r>
      <w:r>
        <w:rPr>
          <w:rFonts w:ascii="Times New Roman" w:cs="Times New Roman" w:eastAsia="Times New Roman" w:hAnsi="Times New Roman"/>
          <w:sz w:val="18"/>
          <w:szCs w:val="18"/>
          <w:color w:val="auto"/>
        </w:rPr>
        <w:t>. The purposes of this Plan are:</w:t>
      </w:r>
    </w:p>
    <w:p>
      <w:pPr>
        <w:spacing w:after="0" w:line="225"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attract and retain the best available personnel for positions of substantial responsibility,</w:t>
      </w:r>
    </w:p>
    <w:p>
      <w:pPr>
        <w:spacing w:after="0" w:line="27"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additional incentive to Employees, Directors and Consultants, and</w:t>
      </w:r>
    </w:p>
    <w:p>
      <w:pPr>
        <w:spacing w:after="0" w:line="9" w:lineRule="exact"/>
        <w:rPr>
          <w:rFonts w:ascii="Times New Roman" w:cs="Times New Roman" w:eastAsia="Times New Roman" w:hAnsi="Times New Roman"/>
          <w:sz w:val="18"/>
          <w:szCs w:val="18"/>
          <w:color w:val="auto"/>
        </w:rPr>
      </w:pPr>
    </w:p>
    <w:p>
      <w:pPr>
        <w:ind w:left="1000" w:hanging="317"/>
        <w:spacing w:after="0"/>
        <w:tabs>
          <w:tab w:leader="none" w:pos="10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promote the success of the Company’s business.</w:t>
      </w:r>
    </w:p>
    <w:p>
      <w:pPr>
        <w:spacing w:after="0" w:line="207"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The Plan permits the grant of Incentive Stock Options, Nonstatutory Stock Options, Restricted Stock, Restricted Stock Units, Stock Appreciation Rights, Performance Units and Performance Shares. The Plan is an amendment and restatement of the Company’s 2013 Equity Incentive Plan that was amended and restated most recently by the Board in April 2021 (the “</w:t>
      </w:r>
      <w:r>
        <w:rPr>
          <w:rFonts w:ascii="Times New Roman" w:cs="Times New Roman" w:eastAsia="Times New Roman" w:hAnsi="Times New Roman"/>
          <w:sz w:val="18"/>
          <w:szCs w:val="18"/>
          <w:u w:val="single" w:color="auto"/>
          <w:color w:val="auto"/>
        </w:rPr>
        <w:t>Prior Plan</w:t>
      </w:r>
      <w:r>
        <w:rPr>
          <w:rFonts w:ascii="Times New Roman" w:cs="Times New Roman" w:eastAsia="Times New Roman" w:hAnsi="Times New Roman"/>
          <w:sz w:val="18"/>
          <w:szCs w:val="18"/>
          <w:color w:val="auto"/>
        </w:rPr>
        <w:t>”). The Plan was adopted by the Board on April 10, 2023 (the “</w:t>
      </w:r>
      <w:r>
        <w:rPr>
          <w:rFonts w:ascii="Times New Roman" w:cs="Times New Roman" w:eastAsia="Times New Roman" w:hAnsi="Times New Roman"/>
          <w:sz w:val="18"/>
          <w:szCs w:val="18"/>
          <w:u w:val="single" w:color="auto"/>
          <w:color w:val="auto"/>
        </w:rPr>
        <w:t>Restatement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Share numbers shown in the Plan reflect the Company’s 1-for-20 reverse stock split effective October 25, 2023.</w:t>
      </w:r>
    </w:p>
    <w:p>
      <w:pPr>
        <w:spacing w:after="0" w:line="180" w:lineRule="exact"/>
        <w:rPr>
          <w:sz w:val="20"/>
          <w:szCs w:val="20"/>
          <w:color w:val="auto"/>
        </w:rPr>
      </w:pPr>
    </w:p>
    <w:p>
      <w:pPr>
        <w:ind w:left="640" w:hanging="272"/>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herein, the following definitions will apply:</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means the Board or any of its Committees as will be administering the Plan, in accordance with Section 4 of the Plan.</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 entity other than a Subsidiary which, together with the Company, is under common control of a third person or entity.</w:t>
      </w:r>
    </w:p>
    <w:p>
      <w:pPr>
        <w:spacing w:after="0" w:line="225"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spacing w:after="0" w:line="176"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individually or collectively, a grant under the Plan of Options, Stock Appreciation Rights, Restricted Stock, Restricted Stock Units, Performance Units or Performance Shares.</w:t>
      </w:r>
    </w:p>
    <w:p>
      <w:pPr>
        <w:spacing w:after="0" w:line="162"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left="340" w:firstLine="324"/>
        <w:spacing w:after="0" w:line="254"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will have the meaning set forth in the applicable Participant’s Award Agreement, employment agreement, or other applicable written agreement. If such agreement does not contain a definition of “Cause”, Cause will mean the following: (i) Participant’s willful failure substantially to perform his or her duties and responsibilities to the Company or deliberate violation of a Company policy; (ii) Participant’s commission of any act of fraud, embezzlement, dishonesty or any other willful misconduct that has caused or is reasonably expected to result in material injury to the Company; (iii) unauthorized use or disclosure by Participant of any proprietary information or trade secrets of the Company or any other party to whom the Participant owes an obligation of nondisclosure as a result of his or her relationship with the Company; or (iv) Participant’s willful breach of any of his or her obligations under any written agreement or covenant with the Company. The determination as to whether a Participant is being terminated for Cause shall be made in good faith by the Company and shall be final and binding on the Participant. The term “Company” as used in this Section 2(g) will be interpreted to include any Subsidiary, Parent, Affiliate, or any successor thereto, if appropriate.</w:t>
      </w:r>
    </w:p>
    <w:p>
      <w:pPr>
        <w:spacing w:after="0" w:line="188" w:lineRule="exact"/>
        <w:rPr>
          <w:sz w:val="20"/>
          <w:szCs w:val="20"/>
          <w:color w:val="auto"/>
        </w:rPr>
      </w:pPr>
    </w:p>
    <w:p>
      <w:pPr>
        <w:ind w:left="1040" w:hanging="384"/>
        <w:spacing w:after="0"/>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the occurrence of any of the following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5" w:name="page6"/>
    <w:bookmarkEnd w:id="5"/>
    <w:p>
      <w:pPr>
        <w:jc w:val="both"/>
        <w:ind w:left="320" w:firstLine="324"/>
        <w:spacing w:after="0" w:line="253" w:lineRule="auto"/>
        <w:rPr>
          <w:sz w:val="20"/>
          <w:szCs w:val="20"/>
          <w:color w:val="auto"/>
        </w:rPr>
      </w:pPr>
      <w:r>
        <w:rPr>
          <w:rFonts w:ascii="Times New Roman" w:cs="Times New Roman" w:eastAsia="Times New Roman" w:hAnsi="Times New Roman"/>
          <w:sz w:val="18"/>
          <w:szCs w:val="18"/>
          <w:color w:val="auto"/>
        </w:rPr>
        <w:t>(i)  A change in the ownership of the Company which occurs on the date that any one person, or more than one person acting as a group (“Person”),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provided, however, that for purposes of this clause (i), (1) the acquisition of beneficial ownership of additional stock by any one Person who is considered to beneficially own more than fifty percent (50%) of the total voting power of the stock of the Company will not be considered a Change in Control; and (2)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clause (i).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87" w:lineRule="exact"/>
        <w:rPr>
          <w:sz w:val="20"/>
          <w:szCs w:val="20"/>
          <w:color w:val="auto"/>
        </w:rPr>
      </w:pPr>
    </w:p>
    <w:p>
      <w:pPr>
        <w:jc w:val="both"/>
        <w:ind w:left="320" w:firstLine="320"/>
        <w:spacing w:after="0" w:line="261" w:lineRule="auto"/>
        <w:tabs>
          <w:tab w:leader="none" w:pos="111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179" w:lineRule="exact"/>
        <w:rPr>
          <w:rFonts w:ascii="Times New Roman" w:cs="Times New Roman" w:eastAsia="Times New Roman" w:hAnsi="Times New Roman"/>
          <w:sz w:val="18"/>
          <w:szCs w:val="18"/>
          <w:color w:val="auto"/>
        </w:rPr>
      </w:pPr>
    </w:p>
    <w:p>
      <w:pPr>
        <w:jc w:val="both"/>
        <w:ind w:left="320" w:firstLine="320"/>
        <w:spacing w:after="0" w:line="253" w:lineRule="auto"/>
        <w:tabs>
          <w:tab w:leader="none" w:pos="11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9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6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234950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121" w:right="339" w:bottom="1440" w:gutter="0" w:footer="0" w:header="0"/>
        </w:sectPr>
      </w:pPr>
    </w:p>
    <w:bookmarkStart w:id="6" w:name="page7"/>
    <w:bookmarkEnd w:id="6"/>
    <w:p>
      <w:pPr>
        <w:ind w:left="8" w:firstLine="324"/>
        <w:spacing w:after="0" w:line="282"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a committee of Directors or of other individuals satisfying Applicable Laws appointed by the Board, or a duly authorized committee of the Board, in accordance with Section 4 hereof.</w:t>
      </w:r>
    </w:p>
    <w:p>
      <w:pPr>
        <w:spacing w:after="0" w:line="162"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w:t>
      </w:r>
    </w:p>
    <w:p>
      <w:pPr>
        <w:spacing w:after="0" w:line="225" w:lineRule="exact"/>
        <w:rPr>
          <w:sz w:val="20"/>
          <w:szCs w:val="20"/>
          <w:color w:val="auto"/>
        </w:rPr>
      </w:pPr>
    </w:p>
    <w:p>
      <w:pPr>
        <w:ind w:left="328"/>
        <w:spacing w:after="0"/>
        <w:tabs>
          <w:tab w:leader="none" w:pos="708" w:val="left"/>
        </w:tabs>
        <w:rPr>
          <w:sz w:val="20"/>
          <w:szCs w:val="20"/>
          <w:color w:val="auto"/>
        </w:rPr>
      </w:pPr>
      <w:r>
        <w:rPr>
          <w:rFonts w:ascii="Times New Roman" w:cs="Times New Roman" w:eastAsia="Times New Roman" w:hAnsi="Times New Roman"/>
          <w:sz w:val="18"/>
          <w:szCs w:val="18"/>
          <w:color w:val="auto"/>
        </w:rPr>
        <w:t xml:space="preserve">(l) </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means VirnetX Holding Corporation, a Delaware corporation, or any successor thereto.</w:t>
      </w:r>
    </w:p>
    <w:p>
      <w:pPr>
        <w:spacing w:after="0" w:line="225" w:lineRule="exact"/>
        <w:rPr>
          <w:sz w:val="20"/>
          <w:szCs w:val="20"/>
          <w:color w:val="auto"/>
        </w:rPr>
      </w:pPr>
    </w:p>
    <w:p>
      <w:pPr>
        <w:jc w:val="both"/>
        <w:ind w:left="8" w:firstLine="316"/>
        <w:spacing w:after="0" w:line="261" w:lineRule="auto"/>
        <w:tabs>
          <w:tab w:leader="none" w:pos="695"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means any natural person, including an advisor, engaged by the Company or a Parent or Subsidiary or other Affiliate to render bona fide services to such entity, provided the services (i) are not in connection with the offer or sale of securities in a capital-raising transaction, and</w:t>
      </w:r>
    </w:p>
    <w:p>
      <w:pPr>
        <w:jc w:val="both"/>
        <w:ind w:left="8" w:hanging="8"/>
        <w:spacing w:after="0" w:line="255" w:lineRule="auto"/>
        <w:tabs>
          <w:tab w:leader="none" w:pos="28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directly promote or maintain a market for the Company’s securities, in each case, within the meaning of Form S-8 promulgated under the Securities Act and provided further that a Consultant will only include those persons to whom the issuance of Shares may be registered under Form S-8 promulgated under the Securities Act.</w:t>
      </w:r>
    </w:p>
    <w:p>
      <w:pPr>
        <w:spacing w:after="0" w:line="186"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sz w:val="20"/>
          <w:szCs w:val="20"/>
          <w:color w:val="auto"/>
        </w:rPr>
      </w:pPr>
    </w:p>
    <w:p>
      <w:pPr>
        <w:jc w:val="both"/>
        <w:ind w:left="8" w:firstLine="324"/>
        <w:spacing w:after="0" w:line="266"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76" w:lineRule="exact"/>
        <w:rPr>
          <w:sz w:val="20"/>
          <w:szCs w:val="20"/>
          <w:color w:val="auto"/>
        </w:rPr>
      </w:pPr>
    </w:p>
    <w:p>
      <w:pPr>
        <w:ind w:left="8" w:right="20" w:firstLine="316"/>
        <w:spacing w:after="0" w:line="282" w:lineRule="auto"/>
        <w:tabs>
          <w:tab w:leader="none" w:pos="77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means any person, including Officers and Directors, employed by the Company or a Parent or Subsidiary or other Affiliate. Neither service as a Director nor payment of a director’s fee by the Company will be sufficient to constitute “employment” by the Company.</w:t>
      </w:r>
    </w:p>
    <w:p>
      <w:pPr>
        <w:spacing w:after="0" w:line="161" w:lineRule="exact"/>
        <w:rPr>
          <w:rFonts w:ascii="Times New Roman" w:cs="Times New Roman" w:eastAsia="Times New Roman" w:hAnsi="Times New Roman"/>
          <w:sz w:val="18"/>
          <w:szCs w:val="18"/>
          <w:color w:val="auto"/>
        </w:rPr>
      </w:pPr>
    </w:p>
    <w:p>
      <w:pPr>
        <w:ind w:left="708" w:hanging="384"/>
        <w:spacing w:after="0"/>
        <w:tabs>
          <w:tab w:leader="none" w:pos="70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rFonts w:ascii="Times New Roman" w:cs="Times New Roman" w:eastAsia="Times New Roman" w:hAnsi="Times New Roman"/>
          <w:sz w:val="18"/>
          <w:szCs w:val="18"/>
          <w:color w:val="auto"/>
        </w:rPr>
      </w:pPr>
    </w:p>
    <w:p>
      <w:pPr>
        <w:jc w:val="both"/>
        <w:ind w:left="8" w:firstLine="316"/>
        <w:spacing w:after="0" w:line="261" w:lineRule="auto"/>
        <w:tabs>
          <w:tab w:leader="none" w:pos="70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Program</w:t>
      </w:r>
      <w:r>
        <w:rPr>
          <w:rFonts w:ascii="Times New Roman" w:cs="Times New Roman" w:eastAsia="Times New Roman" w:hAnsi="Times New Roman"/>
          <w:sz w:val="18"/>
          <w:szCs w:val="18"/>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 cannot implement an Exchange Program.</w:t>
      </w:r>
    </w:p>
    <w:p>
      <w:pPr>
        <w:spacing w:after="0" w:line="179" w:lineRule="exact"/>
        <w:rPr>
          <w:rFonts w:ascii="Times New Roman" w:cs="Times New Roman" w:eastAsia="Times New Roman" w:hAnsi="Times New Roman"/>
          <w:sz w:val="18"/>
          <w:szCs w:val="18"/>
          <w:color w:val="auto"/>
        </w:rPr>
      </w:pPr>
    </w:p>
    <w:p>
      <w:pPr>
        <w:ind w:left="748" w:hanging="424"/>
        <w:spacing w:after="0"/>
        <w:tabs>
          <w:tab w:leader="none" w:pos="74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as of any date, the value of Common Stock determined as follows:</w:t>
      </w:r>
    </w:p>
    <w:p>
      <w:pPr>
        <w:spacing w:after="0" w:line="225" w:lineRule="exact"/>
        <w:rPr>
          <w:sz w:val="20"/>
          <w:szCs w:val="20"/>
          <w:color w:val="auto"/>
        </w:rPr>
      </w:pPr>
    </w:p>
    <w:p>
      <w:pPr>
        <w:jc w:val="both"/>
        <w:ind w:left="328" w:firstLine="324"/>
        <w:spacing w:after="0" w:line="261" w:lineRule="auto"/>
        <w:rPr>
          <w:sz w:val="20"/>
          <w:szCs w:val="20"/>
          <w:color w:val="auto"/>
        </w:rPr>
      </w:pPr>
      <w:r>
        <w:rPr>
          <w:rFonts w:ascii="Times New Roman" w:cs="Times New Roman" w:eastAsia="Times New Roman" w:hAnsi="Times New Roman"/>
          <w:sz w:val="18"/>
          <w:szCs w:val="18"/>
          <w:color w:val="auto"/>
        </w:rPr>
        <w:t>(i)  If the Common Stock is listed on any established stock exchange or a national market system, including without limitation the New York Stock Exchange, NYSE MKT, LLC,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The Wall Street Journal or such other source as the Administrator deems reliable;</w:t>
      </w:r>
    </w:p>
    <w:p>
      <w:pPr>
        <w:spacing w:after="0" w:line="180" w:lineRule="exact"/>
        <w:rPr>
          <w:sz w:val="20"/>
          <w:szCs w:val="20"/>
          <w:color w:val="auto"/>
        </w:rPr>
      </w:pPr>
    </w:p>
    <w:p>
      <w:pPr>
        <w:jc w:val="both"/>
        <w:ind w:left="328" w:firstLine="324"/>
        <w:spacing w:after="0" w:line="261" w:lineRule="auto"/>
        <w:rPr>
          <w:sz w:val="20"/>
          <w:szCs w:val="20"/>
          <w:color w:val="auto"/>
        </w:rPr>
      </w:pPr>
      <w:r>
        <w:rPr>
          <w:rFonts w:ascii="Times New Roman" w:cs="Times New Roman" w:eastAsia="Times New Roman" w:hAnsi="Times New Roman"/>
          <w:sz w:val="18"/>
          <w:szCs w:val="18"/>
          <w:color w:val="auto"/>
        </w:rPr>
        <w:t>(ii)    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date such bids and asks were reported), as reported in The Wall Street Journal or such other source as the Administrator deems reliable;</w:t>
      </w:r>
    </w:p>
    <w:p>
      <w:pPr>
        <w:spacing w:after="0" w:line="180" w:lineRule="exact"/>
        <w:rPr>
          <w:sz w:val="20"/>
          <w:szCs w:val="20"/>
          <w:color w:val="auto"/>
        </w:rPr>
      </w:pPr>
    </w:p>
    <w:p>
      <w:pPr>
        <w:jc w:val="both"/>
        <w:ind w:left="328" w:firstLine="324"/>
        <w:spacing w:after="0" w:line="282" w:lineRule="auto"/>
        <w:rPr>
          <w:sz w:val="20"/>
          <w:szCs w:val="20"/>
          <w:color w:val="auto"/>
        </w:rPr>
      </w:pPr>
      <w:r>
        <w:rPr>
          <w:rFonts w:ascii="Times New Roman" w:cs="Times New Roman" w:eastAsia="Times New Roman" w:hAnsi="Times New Roman"/>
          <w:sz w:val="18"/>
          <w:szCs w:val="18"/>
          <w:color w:val="auto"/>
        </w:rPr>
        <w:t>(iii)  In the absence of an established market for the Common Stock, the Fair Market Value will be determined in good faith by the Administrator.</w:t>
      </w:r>
    </w:p>
    <w:p>
      <w:pPr>
        <w:spacing w:after="0" w:line="162" w:lineRule="exact"/>
        <w:rPr>
          <w:sz w:val="20"/>
          <w:szCs w:val="20"/>
          <w:color w:val="auto"/>
        </w:rPr>
      </w:pPr>
    </w:p>
    <w:p>
      <w:pPr>
        <w:jc w:val="both"/>
        <w:ind w:left="8" w:firstLine="324"/>
        <w:spacing w:after="0" w:line="266" w:lineRule="auto"/>
        <w:rPr>
          <w:sz w:val="20"/>
          <w:szCs w:val="20"/>
          <w:color w:val="auto"/>
        </w:rPr>
      </w:pPr>
      <w:r>
        <w:rPr>
          <w:rFonts w:ascii="Times New Roman" w:cs="Times New Roman" w:eastAsia="Times New Roman" w:hAnsi="Times New Roman"/>
          <w:sz w:val="18"/>
          <w:szCs w:val="18"/>
          <w:color w:val="auto"/>
        </w:rPr>
        <w:t>Notwithstanding the foregoing, if the determination date for the Fair Market Value occurs on a weekend or holiday, the Fair Market Value will be the price as determined in accordance with subsections (i) through (iii) above (as applicable) on the next business day, unless otherwise determined by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234950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7" w:name="page8"/>
    <w:bookmarkEnd w:id="7"/>
    <w:p>
      <w:pPr>
        <w:ind w:left="320"/>
        <w:spacing w:after="0"/>
        <w:tabs>
          <w:tab w:leader="none" w:pos="700" w:val="left"/>
        </w:tabs>
        <w:rPr>
          <w:sz w:val="20"/>
          <w:szCs w:val="20"/>
          <w:color w:val="auto"/>
        </w:rPr>
      </w:pPr>
      <w:r>
        <w:rPr>
          <w:rFonts w:ascii="Times New Roman" w:cs="Times New Roman" w:eastAsia="Times New Roman" w:hAnsi="Times New Roman"/>
          <w:sz w:val="18"/>
          <w:szCs w:val="18"/>
          <w:color w:val="auto"/>
        </w:rPr>
        <w:t xml:space="preserve">(t) </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Fiscal Year</w:t>
      </w:r>
      <w:r>
        <w:rPr>
          <w:rFonts w:ascii="Times New Roman" w:cs="Times New Roman" w:eastAsia="Times New Roman" w:hAnsi="Times New Roman"/>
          <w:sz w:val="17"/>
          <w:szCs w:val="17"/>
          <w:color w:val="auto"/>
        </w:rPr>
        <w:t>” means the fiscal year of the Company.</w:t>
      </w:r>
    </w:p>
    <w:p>
      <w:pPr>
        <w:spacing w:after="0" w:line="22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 Option that by its terms qualifies and is intended to qualify as an incentive stock option within the meaning of Section 422 of the Code and the regulations promulgated thereunder.</w:t>
      </w:r>
    </w:p>
    <w:p>
      <w:pPr>
        <w:spacing w:after="0" w:line="162" w:lineRule="exact"/>
        <w:rPr>
          <w:sz w:val="20"/>
          <w:szCs w:val="20"/>
          <w:color w:val="auto"/>
        </w:rPr>
      </w:pPr>
    </w:p>
    <w:p>
      <w:pPr>
        <w:ind w:left="700" w:hanging="384"/>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Inside Director</w:t>
      </w:r>
      <w:r>
        <w:rPr>
          <w:rFonts w:ascii="Times New Roman" w:cs="Times New Roman" w:eastAsia="Times New Roman" w:hAnsi="Times New Roman"/>
          <w:sz w:val="18"/>
          <w:szCs w:val="18"/>
          <w:color w:val="auto"/>
        </w:rPr>
        <w:t>” means a Director who is an Employee.</w:t>
      </w:r>
    </w:p>
    <w:p>
      <w:pPr>
        <w:spacing w:after="0" w:line="225" w:lineRule="exact"/>
        <w:rPr>
          <w:rFonts w:ascii="Times New Roman" w:cs="Times New Roman" w:eastAsia="Times New Roman" w:hAnsi="Times New Roman"/>
          <w:sz w:val="18"/>
          <w:szCs w:val="18"/>
          <w:color w:val="auto"/>
        </w:rPr>
      </w:pPr>
    </w:p>
    <w:p>
      <w:pPr>
        <w:ind w:left="700" w:hanging="384"/>
        <w:spacing w:after="0"/>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Nonstatutory Stock Option</w:t>
      </w:r>
      <w:r>
        <w:rPr>
          <w:rFonts w:ascii="Times New Roman" w:cs="Times New Roman" w:eastAsia="Times New Roman" w:hAnsi="Times New Roman"/>
          <w:sz w:val="18"/>
          <w:szCs w:val="18"/>
          <w:color w:val="auto"/>
        </w:rPr>
        <w:t>” means an Option that by its terms does not qualify or is not intended to qualify as an Incentive Stock Option.</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 and the rules and regulations promulgated thereunder.</w:t>
      </w:r>
    </w:p>
    <w:p>
      <w:pPr>
        <w:spacing w:after="0" w:line="162" w:lineRule="exact"/>
        <w:rPr>
          <w:sz w:val="20"/>
          <w:szCs w:val="20"/>
          <w:color w:val="auto"/>
        </w:rPr>
      </w:pPr>
    </w:p>
    <w:p>
      <w:pPr>
        <w:ind w:left="700" w:hanging="384"/>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 stock option granted pursuant to the Plan.</w:t>
      </w:r>
    </w:p>
    <w:p>
      <w:pPr>
        <w:spacing w:after="0" w:line="225"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u w:val="single" w:color="auto"/>
          <w:color w:val="auto"/>
        </w:rPr>
        <w:t>Outside Director</w:t>
      </w:r>
      <w:r>
        <w:rPr>
          <w:rFonts w:ascii="Times New Roman" w:cs="Times New Roman" w:eastAsia="Times New Roman" w:hAnsi="Times New Roman"/>
          <w:sz w:val="18"/>
          <w:szCs w:val="18"/>
          <w:color w:val="auto"/>
        </w:rPr>
        <w:t>” means a Director who is not an Employee.</w:t>
      </w:r>
    </w:p>
    <w:p>
      <w:pPr>
        <w:spacing w:after="0" w:line="225" w:lineRule="exact"/>
        <w:rPr>
          <w:rFonts w:ascii="Times New Roman" w:cs="Times New Roman" w:eastAsia="Times New Roman" w:hAnsi="Times New Roman"/>
          <w:sz w:val="18"/>
          <w:szCs w:val="18"/>
          <w:color w:val="auto"/>
        </w:rPr>
      </w:pPr>
    </w:p>
    <w:p>
      <w:pPr>
        <w:ind w:left="740" w:hanging="424"/>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 “parent corporation,” whether now or hereafter existing, as defined in Section 424(e) of the Code.</w:t>
      </w:r>
    </w:p>
    <w:p>
      <w:pPr>
        <w:spacing w:after="0" w:line="225" w:lineRule="exact"/>
        <w:rPr>
          <w:rFonts w:ascii="Times New Roman" w:cs="Times New Roman" w:eastAsia="Times New Roman" w:hAnsi="Times New Roman"/>
          <w:sz w:val="18"/>
          <w:szCs w:val="18"/>
          <w:color w:val="auto"/>
        </w:rPr>
      </w:pPr>
    </w:p>
    <w:p>
      <w:pPr>
        <w:ind w:left="700" w:hanging="384"/>
        <w:spacing w:after="0"/>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the holder of an outstanding Award.</w:t>
      </w:r>
    </w:p>
    <w:p>
      <w:pPr>
        <w:spacing w:after="0" w:line="225" w:lineRule="exact"/>
        <w:rPr>
          <w:rFonts w:ascii="Times New Roman" w:cs="Times New Roman" w:eastAsia="Times New Roman" w:hAnsi="Times New Roman"/>
          <w:sz w:val="18"/>
          <w:szCs w:val="18"/>
          <w:color w:val="auto"/>
        </w:rPr>
      </w:pPr>
    </w:p>
    <w:p>
      <w:pPr>
        <w:ind w:left="740" w:hanging="424"/>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will have the meaning set forth in Section 11 of the Plan.</w:t>
      </w:r>
    </w:p>
    <w:p>
      <w:pPr>
        <w:spacing w:after="0" w:line="225" w:lineRule="exact"/>
        <w:rPr>
          <w:sz w:val="20"/>
          <w:szCs w:val="20"/>
          <w:color w:val="auto"/>
        </w:rPr>
      </w:pPr>
    </w:p>
    <w:p>
      <w:pPr>
        <w:ind w:firstLine="316"/>
        <w:spacing w:after="0" w:line="282" w:lineRule="auto"/>
        <w:tabs>
          <w:tab w:leader="none" w:pos="71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Share</w:t>
      </w:r>
      <w:r>
        <w:rPr>
          <w:rFonts w:ascii="Times New Roman" w:cs="Times New Roman" w:eastAsia="Times New Roman" w:hAnsi="Times New Roman"/>
          <w:sz w:val="18"/>
          <w:szCs w:val="18"/>
          <w:color w:val="auto"/>
        </w:rPr>
        <w:t>” means an Award denominated in Shares which may be earned in whole or in part upon attainment of performance goals or other vesting criteria as the Administrator may determine pursuant to Section 11.</w:t>
      </w:r>
    </w:p>
    <w:p>
      <w:pPr>
        <w:spacing w:after="0" w:line="161" w:lineRule="exact"/>
        <w:rPr>
          <w:rFonts w:ascii="Times New Roman" w:cs="Times New Roman" w:eastAsia="Times New Roman" w:hAnsi="Times New Roman"/>
          <w:sz w:val="18"/>
          <w:szCs w:val="18"/>
          <w:color w:val="auto"/>
        </w:rPr>
      </w:pPr>
    </w:p>
    <w:p>
      <w:pPr>
        <w:jc w:val="both"/>
        <w:ind w:firstLine="316"/>
        <w:spacing w:after="0" w:line="266" w:lineRule="auto"/>
        <w:tabs>
          <w:tab w:leader="none" w:pos="69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Unit</w:t>
      </w:r>
      <w:r>
        <w:rPr>
          <w:rFonts w:ascii="Times New Roman" w:cs="Times New Roman" w:eastAsia="Times New Roman" w:hAnsi="Times New Roman"/>
          <w:sz w:val="18"/>
          <w:szCs w:val="18"/>
          <w:color w:val="auto"/>
        </w:rPr>
        <w:t>” means an Award which may be earned in whole or in part upon attainment of performance goals or other vesting criteria as the Administrator may determine and which may be settled for cash, Shares or other securities or a combination of the foregoing pursuant to Section 11.</w:t>
      </w:r>
    </w:p>
    <w:p>
      <w:pPr>
        <w:spacing w:after="0" w:line="175" w:lineRule="exact"/>
        <w:rPr>
          <w:rFonts w:ascii="Times New Roman" w:cs="Times New Roman" w:eastAsia="Times New Roman" w:hAnsi="Times New Roman"/>
          <w:sz w:val="18"/>
          <w:szCs w:val="18"/>
          <w:color w:val="auto"/>
        </w:rPr>
      </w:pPr>
    </w:p>
    <w:p>
      <w:pPr>
        <w:jc w:val="both"/>
        <w:ind w:firstLine="316"/>
        <w:spacing w:after="0" w:line="266" w:lineRule="auto"/>
        <w:tabs>
          <w:tab w:leader="none" w:pos="70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Period of Restriction</w:t>
      </w:r>
      <w:r>
        <w:rPr>
          <w:rFonts w:ascii="Times New Roman" w:cs="Times New Roman" w:eastAsia="Times New Roman" w:hAnsi="Times New Roman"/>
          <w:sz w:val="18"/>
          <w:szCs w:val="18"/>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75" w:lineRule="exact"/>
        <w:rPr>
          <w:rFonts w:ascii="Times New Roman" w:cs="Times New Roman" w:eastAsia="Times New Roman" w:hAnsi="Times New Roman"/>
          <w:sz w:val="18"/>
          <w:szCs w:val="18"/>
          <w:color w:val="auto"/>
        </w:rPr>
      </w:pPr>
    </w:p>
    <w:p>
      <w:pPr>
        <w:ind w:left="700" w:hanging="384"/>
        <w:spacing w:after="0"/>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Amended and Restated 2013 Equity Incentive Plan.</w:t>
      </w:r>
    </w:p>
    <w:p>
      <w:pPr>
        <w:spacing w:after="0" w:line="225" w:lineRule="exact"/>
        <w:rPr>
          <w:rFonts w:ascii="Times New Roman" w:cs="Times New Roman" w:eastAsia="Times New Roman" w:hAnsi="Times New Roman"/>
          <w:sz w:val="18"/>
          <w:szCs w:val="18"/>
          <w:color w:val="auto"/>
        </w:rPr>
      </w:pPr>
    </w:p>
    <w:p>
      <w:pPr>
        <w:ind w:firstLine="316"/>
        <w:spacing w:after="0" w:line="282" w:lineRule="auto"/>
        <w:tabs>
          <w:tab w:leader="none" w:pos="74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means Shares issued pursuant to a Restricted Stock award under Section 8 of the Plan, or issued pursuant to the early exercise of an Option.</w:t>
      </w:r>
    </w:p>
    <w:p>
      <w:pPr>
        <w:spacing w:after="0" w:line="16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Restricted Stock Unit</w:t>
      </w:r>
      <w:r>
        <w:rPr>
          <w:rFonts w:ascii="Times New Roman" w:cs="Times New Roman" w:eastAsia="Times New Roman" w:hAnsi="Times New Roman"/>
          <w:sz w:val="18"/>
          <w:szCs w:val="18"/>
          <w:color w:val="auto"/>
        </w:rPr>
        <w:t>” means a bookkeeping entry representing an amount equal to the Fair Market Value of one Share, granted pursuant to Section 9 of the Plan. Each Restricted Stock Unit represents an unfunded and unsecured obligation of the Company.</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(jj)  “</w:t>
      </w: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means Rule 16b-3 of the Exchange Act or any successor to Rule 16b-3, as in effect when discretion is being exercised with respect to the Plan.</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(kk) “</w:t>
      </w:r>
      <w:r>
        <w:rPr>
          <w:rFonts w:ascii="Times New Roman" w:cs="Times New Roman" w:eastAsia="Times New Roman" w:hAnsi="Times New Roman"/>
          <w:sz w:val="18"/>
          <w:szCs w:val="18"/>
          <w:u w:val="single" w:color="auto"/>
          <w:color w:val="auto"/>
        </w:rPr>
        <w:t>Section 16(b)”</w:t>
      </w:r>
      <w:r>
        <w:rPr>
          <w:rFonts w:ascii="Times New Roman" w:cs="Times New Roman" w:eastAsia="Times New Roman" w:hAnsi="Times New Roman"/>
          <w:sz w:val="18"/>
          <w:szCs w:val="18"/>
          <w:color w:val="auto"/>
        </w:rPr>
        <w:t xml:space="preserve"> means Section 16(b) of the Exchange Act.</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(ll)   “</w:t>
      </w:r>
      <w:r>
        <w:rPr>
          <w:rFonts w:ascii="Times New Roman" w:cs="Times New Roman" w:eastAsia="Times New Roman" w:hAnsi="Times New Roman"/>
          <w:sz w:val="18"/>
          <w:szCs w:val="18"/>
          <w:u w:val="single" w:color="auto"/>
          <w:color w:val="auto"/>
        </w:rPr>
        <w:t>Service Provider</w:t>
      </w:r>
      <w:r>
        <w:rPr>
          <w:rFonts w:ascii="Times New Roman" w:cs="Times New Roman" w:eastAsia="Times New Roman" w:hAnsi="Times New Roman"/>
          <w:sz w:val="18"/>
          <w:szCs w:val="18"/>
          <w:color w:val="auto"/>
        </w:rPr>
        <w:t>” means an Employee, Director or Consultant.</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(mm)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a share of the Common Stock, as adjusted in accordance with Section 14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266065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121" w:right="339" w:bottom="1440" w:gutter="0" w:footer="0" w:header="0"/>
        </w:sectPr>
      </w:pPr>
    </w:p>
    <w:bookmarkStart w:id="8" w:name="page9"/>
    <w:bookmarkEnd w:id="8"/>
    <w:p>
      <w:pPr>
        <w:ind w:firstLine="316"/>
        <w:spacing w:after="0" w:line="282" w:lineRule="auto"/>
        <w:tabs>
          <w:tab w:leader="none" w:pos="754"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Appreciation Right</w:t>
      </w:r>
      <w:r>
        <w:rPr>
          <w:rFonts w:ascii="Times New Roman" w:cs="Times New Roman" w:eastAsia="Times New Roman" w:hAnsi="Times New Roman"/>
          <w:sz w:val="18"/>
          <w:szCs w:val="18"/>
          <w:color w:val="auto"/>
        </w:rPr>
        <w:t>” means an Award, granted alone or in connection with an Option, that pursuant to Section 10 of the Plan is designated as a Stock Appreciation Right.</w:t>
      </w:r>
    </w:p>
    <w:p>
      <w:pPr>
        <w:spacing w:after="0" w:line="161" w:lineRule="exact"/>
        <w:rPr>
          <w:rFonts w:ascii="Times New Roman" w:cs="Times New Roman" w:eastAsia="Times New Roman" w:hAnsi="Times New Roman"/>
          <w:sz w:val="18"/>
          <w:szCs w:val="18"/>
          <w:color w:val="auto"/>
        </w:rPr>
      </w:pPr>
    </w:p>
    <w:p>
      <w:pPr>
        <w:ind w:left="700" w:hanging="384"/>
        <w:spacing w:after="0"/>
        <w:tabs>
          <w:tab w:leader="none" w:pos="7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 “subsidiary corporation,” whether now or hereafter existing, as defined in Section 424(f) of the Code.</w:t>
      </w:r>
    </w:p>
    <w:p>
      <w:pPr>
        <w:spacing w:after="0" w:line="225" w:lineRule="exact"/>
        <w:rPr>
          <w:rFonts w:ascii="Times New Roman" w:cs="Times New Roman" w:eastAsia="Times New Roman" w:hAnsi="Times New Roman"/>
          <w:sz w:val="18"/>
          <w:szCs w:val="18"/>
          <w:color w:val="auto"/>
        </w:rPr>
      </w:pPr>
    </w:p>
    <w:p>
      <w:pPr>
        <w:ind w:left="300" w:hanging="272"/>
        <w:spacing w:after="0"/>
        <w:tabs>
          <w:tab w:leader="none" w:pos="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Subject to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Stock Subject to the Plan</w:t>
      </w:r>
      <w:r>
        <w:rPr>
          <w:rFonts w:ascii="Times New Roman" w:cs="Times New Roman" w:eastAsia="Times New Roman" w:hAnsi="Times New Roman"/>
          <w:sz w:val="18"/>
          <w:szCs w:val="18"/>
          <w:color w:val="auto"/>
        </w:rPr>
        <w:t>. Subject to the provisions of Section 14 of the Plan, the maximum aggregate number of Shares that may be issued</w:t>
      </w:r>
    </w:p>
    <w:p>
      <w:pPr>
        <w:spacing w:after="0" w:line="2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under the Plan is 2,175,000 Shares. In addition, Shares may become available for issuance under the Plan pursuant to Section 3(b). The Shares may be authorized, but unissued, or reacquired Common Stock.</w:t>
      </w:r>
    </w:p>
    <w:p>
      <w:pPr>
        <w:spacing w:after="0" w:line="18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Lapsed Awards</w:t>
      </w:r>
      <w:r>
        <w:rPr>
          <w:rFonts w:ascii="Times New Roman" w:cs="Times New Roman" w:eastAsia="Times New Roman" w:hAnsi="Times New Roman"/>
          <w:sz w:val="18"/>
          <w:szCs w:val="18"/>
          <w:color w:val="auto"/>
        </w:rPr>
        <w:t>. If an Award expires or becomes unexercisable without having been exercised in full, or, with respect to Restricted Stock, Restricted Stock Units, Performance Units or Performance Shares, is forfeited to or repurchased by the Company due to failure to vest, the unpurchased Shares (or for Awards other than Options or Stock Appreciation Rights the forfeited or repurchased Shares), which were subject thereto will become available for future grant or sale under the Plan (unless the Plan has terminated). Upon exercise of a Stock Appreciation Right settled in Shares, the gross number of Shares covered by the portion of the Award so exercised, whether or not actually issued pursuant to such exercise will cease to be available under the Plan. Shares that have actually been issued under the Plan under any Award will not be returned to the Plan and will not become available for future distribution under the Plan; provided, however, that if unvested Shares issued pursuant to Awards of Restricted Stock, Restricted Stock Units, Performance Shares or Performance Units are repurchased by the Company or are forfeited to the Company, such Shares will become available for future grant under the Plan. Shares used to pay the exercise price of an Award or to satisfy the tax withholding obligations related to an Award will not become available for future grant or sale under the Plan. Shares repurchased by the Company using Option exercise proceeds will not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14,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pursuant to Section 3(b). For the avoidance of doubt, the provisions of this Section 3(b) will also apply to awards that were granted under the Prior Plan prior to its amendment and restatement such that any Shares subject to awards granted under the Prior Plan that, on or after the Effective Date, expire or otherwise terminate without having been exercised or issued in full or are forfeited to or repurchased by the Company due to failure to vest, will be added to the Plan, with the maximum number of shares to be added to the Amended Plan pursuant to this sentence equal to 317,840 shares.</w:t>
      </w:r>
    </w:p>
    <w:p>
      <w:pPr>
        <w:spacing w:after="0" w:line="19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Share Reserve</w:t>
      </w:r>
      <w:r>
        <w:rPr>
          <w:rFonts w:ascii="Times New Roman" w:cs="Times New Roman" w:eastAsia="Times New Roman" w:hAnsi="Times New Roman"/>
          <w:sz w:val="18"/>
          <w:szCs w:val="18"/>
          <w:color w:val="auto"/>
        </w:rPr>
        <w:t>. The Company, during the term of this Plan, will at all times reserve and keep available such number of Shares as will be sufficient to satisfy the requirements of the Plan.</w:t>
      </w:r>
    </w:p>
    <w:p>
      <w:pPr>
        <w:spacing w:after="0" w:line="162" w:lineRule="exact"/>
        <w:rPr>
          <w:sz w:val="20"/>
          <w:szCs w:val="20"/>
          <w:color w:val="auto"/>
        </w:rPr>
      </w:pPr>
    </w:p>
    <w:p>
      <w:pPr>
        <w:ind w:left="300" w:hanging="27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the Plan.</w:t>
      </w:r>
    </w:p>
    <w:p>
      <w:pPr>
        <w:spacing w:after="0" w:line="225"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Multiple Administrative Bodies</w:t>
      </w:r>
      <w:r>
        <w:rPr>
          <w:rFonts w:ascii="Times New Roman" w:cs="Times New Roman" w:eastAsia="Times New Roman" w:hAnsi="Times New Roman"/>
          <w:sz w:val="18"/>
          <w:szCs w:val="18"/>
          <w:color w:val="auto"/>
        </w:rPr>
        <w:t>. Different Committees with respect to different groups of Service Providers may administer the Plan.</w:t>
      </w:r>
    </w:p>
    <w:p>
      <w:pPr>
        <w:spacing w:after="0" w:line="225" w:lineRule="exact"/>
        <w:rPr>
          <w:rFonts w:ascii="Times New Roman" w:cs="Times New Roman" w:eastAsia="Times New Roman" w:hAnsi="Times New Roman"/>
          <w:sz w:val="18"/>
          <w:szCs w:val="18"/>
          <w:color w:val="auto"/>
        </w:rPr>
      </w:pPr>
    </w:p>
    <w:p>
      <w:pPr>
        <w:ind w:left="320" w:right="20" w:firstLine="320"/>
        <w:spacing w:after="0" w:line="282" w:lineRule="auto"/>
        <w:tabs>
          <w:tab w:leader="none" w:pos="121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To the extent desirable to qualify transactions hereunder as exempt under Rule 16b-3, the transactions contemplated hereunder will be structured to satisfy the requirements for exemption under Rule 16b-3.</w:t>
      </w:r>
    </w:p>
    <w:p>
      <w:pPr>
        <w:spacing w:after="0" w:line="161" w:lineRule="exact"/>
        <w:rPr>
          <w:rFonts w:ascii="Times New Roman" w:cs="Times New Roman" w:eastAsia="Times New Roman" w:hAnsi="Times New Roman"/>
          <w:sz w:val="18"/>
          <w:szCs w:val="18"/>
          <w:color w:val="auto"/>
        </w:rPr>
      </w:pPr>
    </w:p>
    <w:p>
      <w:pPr>
        <w:ind w:left="320" w:firstLine="320"/>
        <w:spacing w:after="0" w:line="282" w:lineRule="auto"/>
        <w:tabs>
          <w:tab w:leader="none" w:pos="118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Administration</w:t>
      </w:r>
      <w:r>
        <w:rPr>
          <w:rFonts w:ascii="Times New Roman" w:cs="Times New Roman" w:eastAsia="Times New Roman" w:hAnsi="Times New Roman"/>
          <w:sz w:val="18"/>
          <w:szCs w:val="18"/>
          <w:color w:val="auto"/>
        </w:rPr>
        <w:t>. Other than as provided above, the Plan will be administered by (A) the Board or (B) a Committee, which committee will be constituted to satisfy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225425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121" w:right="339" w:bottom="1440" w:gutter="0" w:footer="0" w:header="0"/>
        </w:sectPr>
      </w:pPr>
    </w:p>
    <w:bookmarkStart w:id="9" w:name="page10"/>
    <w:bookmarkEnd w:id="9"/>
    <w:p>
      <w:pPr>
        <w:ind w:left="-316" w:firstLine="316"/>
        <w:spacing w:after="0" w:line="282" w:lineRule="auto"/>
        <w:tabs>
          <w:tab w:leader="none" w:pos="39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the Administrator</w:t>
      </w:r>
      <w:r>
        <w:rPr>
          <w:rFonts w:ascii="Times New Roman" w:cs="Times New Roman" w:eastAsia="Times New Roman" w:hAnsi="Times New Roman"/>
          <w:sz w:val="18"/>
          <w:szCs w:val="18"/>
          <w:color w:val="auto"/>
        </w:rPr>
        <w:t>. Subject to the provisions of the Plan, and in the case of a Committee, subject to the specific duties delegated by the Board to such Committee, the Administrator will have the authority, in its discretion:</w:t>
      </w:r>
    </w:p>
    <w:p>
      <w:pPr>
        <w:spacing w:after="0" w:line="162" w:lineRule="exact"/>
        <w:rPr>
          <w:sz w:val="20"/>
          <w:szCs w:val="20"/>
          <w:color w:val="auto"/>
        </w:rPr>
      </w:pPr>
    </w:p>
    <w:p>
      <w:pPr>
        <w:ind w:left="324"/>
        <w:spacing w:after="0"/>
        <w:tabs>
          <w:tab w:leader="none" w:pos="784" w:val="left"/>
        </w:tabs>
        <w:rPr>
          <w:sz w:val="20"/>
          <w:szCs w:val="20"/>
          <w:color w:val="auto"/>
        </w:rPr>
      </w:pPr>
      <w:r>
        <w:rPr>
          <w:rFonts w:ascii="Times New Roman" w:cs="Times New Roman" w:eastAsia="Times New Roman" w:hAnsi="Times New Roman"/>
          <w:sz w:val="18"/>
          <w:szCs w:val="18"/>
          <w:color w:val="auto"/>
        </w:rPr>
        <w:t xml:space="preserve">(i) </w:t>
      </w:r>
      <w:r>
        <w:rPr>
          <w:sz w:val="20"/>
          <w:szCs w:val="20"/>
          <w:color w:val="auto"/>
        </w:rPr>
        <w:tab/>
      </w:r>
      <w:r>
        <w:rPr>
          <w:rFonts w:ascii="Times New Roman" w:cs="Times New Roman" w:eastAsia="Times New Roman" w:hAnsi="Times New Roman"/>
          <w:sz w:val="17"/>
          <w:szCs w:val="17"/>
          <w:color w:val="auto"/>
        </w:rPr>
        <w:t>to determine the Fair Market Value;</w:t>
      </w:r>
    </w:p>
    <w:p>
      <w:pPr>
        <w:spacing w:after="0" w:line="225" w:lineRule="exact"/>
        <w:rPr>
          <w:sz w:val="20"/>
          <w:szCs w:val="20"/>
          <w:color w:val="auto"/>
        </w:rPr>
      </w:pPr>
    </w:p>
    <w:p>
      <w:pPr>
        <w:ind w:left="804" w:hanging="480"/>
        <w:spacing w:after="0"/>
        <w:tabs>
          <w:tab w:leader="none" w:pos="80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Service Providers to whom Awards may be granted hereunder;</w:t>
      </w:r>
    </w:p>
    <w:p>
      <w:pPr>
        <w:spacing w:after="0" w:line="225" w:lineRule="exact"/>
        <w:rPr>
          <w:rFonts w:ascii="Times New Roman" w:cs="Times New Roman" w:eastAsia="Times New Roman" w:hAnsi="Times New Roman"/>
          <w:sz w:val="18"/>
          <w:szCs w:val="18"/>
          <w:color w:val="auto"/>
        </w:rPr>
      </w:pPr>
    </w:p>
    <w:p>
      <w:pPr>
        <w:ind w:left="824" w:hanging="500"/>
        <w:spacing w:after="0"/>
        <w:tabs>
          <w:tab w:leader="none" w:pos="8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to be covered by each Award granted hereunder;</w:t>
      </w:r>
    </w:p>
    <w:p>
      <w:pPr>
        <w:spacing w:after="0" w:line="225" w:lineRule="exact"/>
        <w:rPr>
          <w:rFonts w:ascii="Times New Roman" w:cs="Times New Roman" w:eastAsia="Times New Roman" w:hAnsi="Times New Roman"/>
          <w:sz w:val="18"/>
          <w:szCs w:val="18"/>
          <w:color w:val="auto"/>
        </w:rPr>
      </w:pPr>
    </w:p>
    <w:p>
      <w:pPr>
        <w:ind w:left="804" w:hanging="480"/>
        <w:spacing w:after="0"/>
        <w:tabs>
          <w:tab w:leader="none" w:pos="80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forms of Award Agreements for use under the Plan;</w:t>
      </w:r>
    </w:p>
    <w:p>
      <w:pPr>
        <w:spacing w:after="0" w:line="225" w:lineRule="exact"/>
        <w:rPr>
          <w:rFonts w:ascii="Times New Roman" w:cs="Times New Roman" w:eastAsia="Times New Roman" w:hAnsi="Times New Roman"/>
          <w:sz w:val="18"/>
          <w:szCs w:val="18"/>
          <w:color w:val="auto"/>
        </w:rPr>
      </w:pPr>
    </w:p>
    <w:p>
      <w:pPr>
        <w:jc w:val="both"/>
        <w:ind w:left="4" w:firstLine="320"/>
        <w:spacing w:after="0" w:line="261" w:lineRule="auto"/>
        <w:tabs>
          <w:tab w:leader="none" w:pos="88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79" w:lineRule="exact"/>
        <w:rPr>
          <w:rFonts w:ascii="Times New Roman" w:cs="Times New Roman" w:eastAsia="Times New Roman" w:hAnsi="Times New Roman"/>
          <w:sz w:val="18"/>
          <w:szCs w:val="18"/>
          <w:color w:val="auto"/>
        </w:rPr>
      </w:pPr>
    </w:p>
    <w:p>
      <w:pPr>
        <w:ind w:left="804" w:hanging="480"/>
        <w:spacing w:after="0"/>
        <w:tabs>
          <w:tab w:leader="none" w:pos="80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terms of the Plan and Awards granted pursuant to the Plan;</w:t>
      </w:r>
    </w:p>
    <w:p>
      <w:pPr>
        <w:spacing w:after="0" w:line="225" w:lineRule="exact"/>
        <w:rPr>
          <w:rFonts w:ascii="Times New Roman" w:cs="Times New Roman" w:eastAsia="Times New Roman" w:hAnsi="Times New Roman"/>
          <w:sz w:val="18"/>
          <w:szCs w:val="18"/>
          <w:color w:val="auto"/>
        </w:rPr>
      </w:pPr>
    </w:p>
    <w:p>
      <w:pPr>
        <w:ind w:left="4" w:firstLine="320"/>
        <w:spacing w:after="0" w:line="282" w:lineRule="auto"/>
        <w:tabs>
          <w:tab w:leader="none" w:pos="87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amend and rescind rules and regulations relating to the Plan, including rules and regulations relating to sub-plans established for the purpose of satisfying applicable foreign laws or for qualifying for favorable tax treatment under applicable foreign laws;</w:t>
      </w:r>
    </w:p>
    <w:p>
      <w:pPr>
        <w:spacing w:after="0" w:line="161" w:lineRule="exact"/>
        <w:rPr>
          <w:rFonts w:ascii="Times New Roman" w:cs="Times New Roman" w:eastAsia="Times New Roman" w:hAnsi="Times New Roman"/>
          <w:sz w:val="18"/>
          <w:szCs w:val="18"/>
          <w:color w:val="auto"/>
        </w:rPr>
      </w:pPr>
    </w:p>
    <w:p>
      <w:pPr>
        <w:jc w:val="both"/>
        <w:ind w:left="4" w:firstLine="320"/>
        <w:spacing w:after="0" w:line="266" w:lineRule="auto"/>
        <w:tabs>
          <w:tab w:leader="none" w:pos="83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or amend each Award (subject to Section 6 and Section 19 of the Plan), including but not limited to the discretionary authority to extend the post-termination exercisability period of Awards and to extend the maximum term of an Option (subject to Section 7(b) of the Plan regarding Incentive Stock Options);</w:t>
      </w:r>
    </w:p>
    <w:p>
      <w:pPr>
        <w:spacing w:after="0" w:line="175" w:lineRule="exact"/>
        <w:rPr>
          <w:rFonts w:ascii="Times New Roman" w:cs="Times New Roman" w:eastAsia="Times New Roman" w:hAnsi="Times New Roman"/>
          <w:sz w:val="18"/>
          <w:szCs w:val="18"/>
          <w:color w:val="auto"/>
        </w:rPr>
      </w:pPr>
    </w:p>
    <w:p>
      <w:pPr>
        <w:ind w:left="804" w:hanging="480"/>
        <w:spacing w:after="0"/>
        <w:tabs>
          <w:tab w:leader="none" w:pos="80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Participants to satisfy tax withholding obligations in such manner as prescribed in Section 15 of the Plan;</w:t>
      </w:r>
    </w:p>
    <w:p>
      <w:pPr>
        <w:spacing w:after="0" w:line="225" w:lineRule="exact"/>
        <w:rPr>
          <w:rFonts w:ascii="Times New Roman" w:cs="Times New Roman" w:eastAsia="Times New Roman" w:hAnsi="Times New Roman"/>
          <w:sz w:val="18"/>
          <w:szCs w:val="18"/>
          <w:color w:val="auto"/>
        </w:rPr>
      </w:pPr>
    </w:p>
    <w:p>
      <w:pPr>
        <w:ind w:left="4" w:firstLine="320"/>
        <w:spacing w:after="0" w:line="282" w:lineRule="auto"/>
        <w:tabs>
          <w:tab w:leader="none" w:pos="76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any person to execute on behalf of the Company any instrument required to effect the grant of an Award previously granted by the Administrator;</w:t>
      </w:r>
    </w:p>
    <w:p>
      <w:pPr>
        <w:spacing w:after="0" w:line="162" w:lineRule="exact"/>
        <w:rPr>
          <w:sz w:val="20"/>
          <w:szCs w:val="20"/>
          <w:color w:val="auto"/>
        </w:rPr>
      </w:pPr>
    </w:p>
    <w:p>
      <w:pPr>
        <w:ind w:left="4" w:firstLine="324"/>
        <w:spacing w:after="0" w:line="282" w:lineRule="auto"/>
        <w:rPr>
          <w:sz w:val="20"/>
          <w:szCs w:val="20"/>
          <w:color w:val="auto"/>
        </w:rPr>
      </w:pPr>
      <w:r>
        <w:rPr>
          <w:rFonts w:ascii="Times New Roman" w:cs="Times New Roman" w:eastAsia="Times New Roman" w:hAnsi="Times New Roman"/>
          <w:sz w:val="18"/>
          <w:szCs w:val="18"/>
          <w:color w:val="auto"/>
        </w:rPr>
        <w:t>(xi)  to allow a Participant to defer the receipt of the payment of cash or the delivery of Shares that would otherwise be due to such Participant under an Award;</w:t>
      </w:r>
    </w:p>
    <w:p>
      <w:pPr>
        <w:spacing w:after="0" w:line="162" w:lineRule="exact"/>
        <w:rPr>
          <w:sz w:val="20"/>
          <w:szCs w:val="20"/>
          <w:color w:val="auto"/>
        </w:rPr>
      </w:pPr>
    </w:p>
    <w:p>
      <w:pPr>
        <w:jc w:val="both"/>
        <w:ind w:left="4" w:firstLine="320"/>
        <w:spacing w:after="0" w:line="266" w:lineRule="auto"/>
        <w:tabs>
          <w:tab w:leader="none" w:pos="9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impose such restrictions, conditions or limitations as it determines appropriate as to the timing and manner of any resales by a Participant or other subsequent transfers by the Participant of any Shares issued as a result of or under an Award, including without limitation, (A) restrictions under an insider trading policy, and (B) restrictions as to the use of a specified brokerage firm for such resales or other transfers;</w:t>
      </w:r>
    </w:p>
    <w:p>
      <w:pPr>
        <w:spacing w:after="0" w:line="175" w:lineRule="exact"/>
        <w:rPr>
          <w:rFonts w:ascii="Times New Roman" w:cs="Times New Roman" w:eastAsia="Times New Roman" w:hAnsi="Times New Roman"/>
          <w:sz w:val="18"/>
          <w:szCs w:val="18"/>
          <w:color w:val="auto"/>
        </w:rPr>
      </w:pPr>
    </w:p>
    <w:p>
      <w:pPr>
        <w:jc w:val="both"/>
        <w:ind w:left="4" w:firstLine="320"/>
        <w:spacing w:after="0" w:line="270" w:lineRule="auto"/>
        <w:tabs>
          <w:tab w:leader="none" w:pos="783"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require that the Participant’s rights, payments and benefits with respect to an Award (including amounts received upon the settlement or exercise of an Award) will be subject to reduction, cancellation, forfeiture or recoupment upon the occurrence of certain specified events, in addition to any otherwise applicable vesting or performance conditions of an Award, as may be specified in an Award Agreement at the time of the Award, or later if (A) Applicable Laws require the Company to adopt a policy requiring such reduction, cancellation, forfeiture or recoupment, or</w:t>
      </w:r>
    </w:p>
    <w:p>
      <w:pPr>
        <w:spacing w:after="0" w:line="2" w:lineRule="exact"/>
        <w:rPr>
          <w:rFonts w:ascii="Times New Roman" w:cs="Times New Roman" w:eastAsia="Times New Roman" w:hAnsi="Times New Roman"/>
          <w:sz w:val="17"/>
          <w:szCs w:val="17"/>
          <w:color w:val="auto"/>
        </w:rPr>
      </w:pPr>
    </w:p>
    <w:p>
      <w:pPr>
        <w:ind w:left="284" w:hanging="284"/>
        <w:spacing w:after="0"/>
        <w:tabs>
          <w:tab w:leader="none" w:pos="28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amendment of an outstanding Award; and</w:t>
      </w:r>
    </w:p>
    <w:p>
      <w:pPr>
        <w:spacing w:after="0" w:line="207" w:lineRule="exact"/>
        <w:rPr>
          <w:sz w:val="20"/>
          <w:szCs w:val="20"/>
          <w:color w:val="auto"/>
        </w:rPr>
      </w:pPr>
    </w:p>
    <w:p>
      <w:pPr>
        <w:ind w:left="324"/>
        <w:spacing w:after="0"/>
        <w:rPr>
          <w:sz w:val="20"/>
          <w:szCs w:val="20"/>
          <w:color w:val="auto"/>
        </w:rPr>
      </w:pPr>
      <w:r>
        <w:rPr>
          <w:rFonts w:ascii="Times New Roman" w:cs="Times New Roman" w:eastAsia="Times New Roman" w:hAnsi="Times New Roman"/>
          <w:sz w:val="18"/>
          <w:szCs w:val="18"/>
          <w:color w:val="auto"/>
        </w:rPr>
        <w:t>(xiv)   to make all other determinations deemed necessary or advisable for administering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266065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10" w:name="page11"/>
    <w:bookmarkEnd w:id="10"/>
    <w:p>
      <w:pPr>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Effect of Administrator’s Decision</w:t>
      </w:r>
      <w:r>
        <w:rPr>
          <w:rFonts w:ascii="Times New Roman" w:cs="Times New Roman" w:eastAsia="Times New Roman" w:hAnsi="Times New Roman"/>
          <w:sz w:val="18"/>
          <w:szCs w:val="18"/>
          <w:color w:val="auto"/>
        </w:rPr>
        <w:t>. The Administrator’s decisions, determinations and interpretations will be final and binding on all Participants and any other holders of Awards.</w:t>
      </w:r>
    </w:p>
    <w:p>
      <w:pPr>
        <w:spacing w:after="0" w:line="162" w:lineRule="exact"/>
        <w:rPr>
          <w:sz w:val="20"/>
          <w:szCs w:val="20"/>
          <w:color w:val="auto"/>
        </w:rPr>
      </w:pPr>
    </w:p>
    <w:p>
      <w:pPr>
        <w:ind w:left="-340" w:firstLine="368"/>
        <w:spacing w:after="0" w:line="282" w:lineRule="auto"/>
        <w:tabs>
          <w:tab w:leader="none" w:pos="24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Nonstatutory Stock Options, Stock Appreciation Rights, Restricted Stock, Restricted Stock Units, Performance Shares and Performance Units may be granted to Service Providers. Incentive Stock Options may be granted only to Employees of the Company or any Parent or Subsidiary.</w:t>
      </w:r>
    </w:p>
    <w:p>
      <w:pPr>
        <w:spacing w:after="0" w:line="161" w:lineRule="exact"/>
        <w:rPr>
          <w:rFonts w:ascii="Times New Roman" w:cs="Times New Roman" w:eastAsia="Times New Roman" w:hAnsi="Times New Roman"/>
          <w:sz w:val="18"/>
          <w:szCs w:val="18"/>
          <w:color w:val="auto"/>
        </w:rPr>
      </w:pPr>
    </w:p>
    <w:p>
      <w:pPr>
        <w:ind w:left="300" w:hanging="272"/>
        <w:spacing w:after="0"/>
        <w:tabs>
          <w:tab w:leader="none" w:pos="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Incentive Stock Option Limitations.</w:t>
      </w:r>
      <w:r>
        <w:rPr>
          <w:rFonts w:ascii="Times New Roman" w:cs="Times New Roman" w:eastAsia="Times New Roman" w:hAnsi="Times New Roman"/>
          <w:sz w:val="18"/>
          <w:szCs w:val="18"/>
          <w:color w:val="auto"/>
        </w:rPr>
        <w:t xml:space="preserve">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Share Limitations</w:t>
      </w:r>
      <w:r>
        <w:rPr>
          <w:rFonts w:ascii="Times New Roman" w:cs="Times New Roman" w:eastAsia="Times New Roman" w:hAnsi="Times New Roman"/>
          <w:sz w:val="18"/>
          <w:szCs w:val="18"/>
          <w:color w:val="auto"/>
        </w:rPr>
        <w:t>. Subject to adjustment as provided in Section 14, during any Fiscal Year, no Employee will be granted:</w:t>
      </w:r>
    </w:p>
    <w:p>
      <w:pPr>
        <w:spacing w:after="0" w:line="225" w:lineRule="exact"/>
        <w:rPr>
          <w:sz w:val="20"/>
          <w:szCs w:val="20"/>
          <w:color w:val="auto"/>
        </w:rPr>
      </w:pPr>
    </w:p>
    <w:p>
      <w:pPr>
        <w:jc w:val="both"/>
        <w:ind w:left="320" w:firstLine="324"/>
        <w:spacing w:after="0" w:line="266" w:lineRule="auto"/>
        <w:rPr>
          <w:sz w:val="20"/>
          <w:szCs w:val="20"/>
          <w:color w:val="auto"/>
        </w:rPr>
      </w:pPr>
      <w:r>
        <w:rPr>
          <w:rFonts w:ascii="Times New Roman" w:cs="Times New Roman" w:eastAsia="Times New Roman" w:hAnsi="Times New Roman"/>
          <w:sz w:val="18"/>
          <w:szCs w:val="18"/>
          <w:color w:val="auto"/>
        </w:rPr>
        <w:t>(i)  Options and/or SARs covering more than a total of 50,000 Shares; provided, however, that in connection with his or her initial employment, an Employee may be granted Options and/or SARs covering up to a total of 50,000 additional Shares in the Fiscal Year in which his or her service as an Employee first commences;</w:t>
      </w:r>
    </w:p>
    <w:p>
      <w:pPr>
        <w:spacing w:after="0" w:line="176" w:lineRule="exact"/>
        <w:rPr>
          <w:sz w:val="20"/>
          <w:szCs w:val="20"/>
          <w:color w:val="auto"/>
        </w:rPr>
      </w:pPr>
    </w:p>
    <w:p>
      <w:pPr>
        <w:jc w:val="both"/>
        <w:ind w:left="320" w:firstLine="324"/>
        <w:spacing w:after="0" w:line="266" w:lineRule="auto"/>
        <w:rPr>
          <w:sz w:val="20"/>
          <w:szCs w:val="20"/>
          <w:color w:val="auto"/>
        </w:rPr>
      </w:pPr>
      <w:r>
        <w:rPr>
          <w:rFonts w:ascii="Times New Roman" w:cs="Times New Roman" w:eastAsia="Times New Roman" w:hAnsi="Times New Roman"/>
          <w:sz w:val="18"/>
          <w:szCs w:val="18"/>
          <w:color w:val="auto"/>
        </w:rPr>
        <w:t>(ii)  Restricted Stock and/or Restricted Stock Units and/or Performance Shares covering more than 50,000 Shares; provided, however, that in connection with his or her initial employment, an Employee may be granted Restricted Stock, Restricted Stock Units and/or Performance Shares covering up to a total of 50,000 additional Shares in the Fiscal Year in which his or her service as an Employee first commences; and</w:t>
      </w:r>
    </w:p>
    <w:p>
      <w:pPr>
        <w:spacing w:after="0" w:line="176" w:lineRule="exact"/>
        <w:rPr>
          <w:sz w:val="20"/>
          <w:szCs w:val="20"/>
          <w:color w:val="auto"/>
        </w:rPr>
      </w:pPr>
    </w:p>
    <w:p>
      <w:pPr>
        <w:jc w:val="both"/>
        <w:ind w:left="320" w:firstLine="324"/>
        <w:spacing w:after="0" w:line="261" w:lineRule="auto"/>
        <w:rPr>
          <w:sz w:val="20"/>
          <w:szCs w:val="20"/>
          <w:color w:val="auto"/>
        </w:rPr>
      </w:pPr>
      <w:r>
        <w:rPr>
          <w:rFonts w:ascii="Times New Roman" w:cs="Times New Roman" w:eastAsia="Times New Roman" w:hAnsi="Times New Roman"/>
          <w:sz w:val="18"/>
          <w:szCs w:val="18"/>
          <w:color w:val="auto"/>
        </w:rPr>
        <w:t>(iii)  Performance Units having a grant date fair value (determined in accordance with U.S. generally accepted accounting principles) greater than $5,000,000; provided, however, that in connection with his or her initial employment, an Employee may be granted additional Performance Units in the Fiscal Year in which his or her service as an Employee first commences having a grant date fair value (determined in accordance with U.S. generally accepted accounting principles) no greater than $10,000,000.</w:t>
      </w:r>
    </w:p>
    <w:p>
      <w:pPr>
        <w:spacing w:after="0" w:line="180" w:lineRule="exact"/>
        <w:rPr>
          <w:sz w:val="20"/>
          <w:szCs w:val="20"/>
          <w:color w:val="auto"/>
        </w:rPr>
      </w:pPr>
    </w:p>
    <w:p>
      <w:pPr>
        <w:jc w:val="both"/>
        <w:ind w:left="320" w:firstLine="324"/>
        <w:spacing w:after="0" w:line="282" w:lineRule="auto"/>
        <w:rPr>
          <w:sz w:val="20"/>
          <w:szCs w:val="20"/>
          <w:color w:val="auto"/>
        </w:rPr>
      </w:pPr>
      <w:r>
        <w:rPr>
          <w:rFonts w:ascii="Times New Roman" w:cs="Times New Roman" w:eastAsia="Times New Roman" w:hAnsi="Times New Roman"/>
          <w:sz w:val="18"/>
          <w:szCs w:val="18"/>
          <w:color w:val="auto"/>
        </w:rPr>
        <w:t>(iv)  If an Award is cancelled in the same Fiscal Year in which it was granted (other than in connection with a transaction described in Section 14(c)), the cancelled Award will be excluded from the limits set forth in this subsection (b).</w:t>
      </w:r>
    </w:p>
    <w:p>
      <w:pPr>
        <w:spacing w:after="0" w:line="162" w:lineRule="exact"/>
        <w:rPr>
          <w:sz w:val="20"/>
          <w:szCs w:val="20"/>
          <w:color w:val="auto"/>
        </w:rPr>
      </w:pPr>
    </w:p>
    <w:p>
      <w:pPr>
        <w:ind w:left="700" w:hanging="384"/>
        <w:spacing w:after="0"/>
        <w:tabs>
          <w:tab w:leader="none" w:pos="7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Exchange Program</w:t>
      </w:r>
      <w:r>
        <w:rPr>
          <w:rFonts w:ascii="Times New Roman" w:cs="Times New Roman" w:eastAsia="Times New Roman" w:hAnsi="Times New Roman"/>
          <w:sz w:val="18"/>
          <w:szCs w:val="18"/>
          <w:color w:val="auto"/>
        </w:rPr>
        <w:t>. The Administrator cannot institute an Exchange Program.</w:t>
      </w:r>
    </w:p>
    <w:p>
      <w:pPr>
        <w:spacing w:after="0" w:line="225" w:lineRule="exact"/>
        <w:rPr>
          <w:rFonts w:ascii="Times New Roman" w:cs="Times New Roman" w:eastAsia="Times New Roman" w:hAnsi="Times New Roman"/>
          <w:sz w:val="18"/>
          <w:szCs w:val="18"/>
          <w:color w:val="auto"/>
        </w:rPr>
      </w:pPr>
    </w:p>
    <w:p>
      <w:pPr>
        <w:ind w:firstLine="316"/>
        <w:spacing w:after="0" w:line="282" w:lineRule="auto"/>
        <w:tabs>
          <w:tab w:leader="none" w:pos="75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Outside Director Limitations</w:t>
      </w:r>
      <w:r>
        <w:rPr>
          <w:rFonts w:ascii="Times New Roman" w:cs="Times New Roman" w:eastAsia="Times New Roman" w:hAnsi="Times New Roman"/>
          <w:sz w:val="18"/>
          <w:szCs w:val="18"/>
          <w:color w:val="auto"/>
        </w:rPr>
        <w:t>. No Outside Director may be granted, in any Fiscal Year, Awards covering more than 50,000 Shares. Awards granted to an individual while he or she was an Employee or Consultant, but not an Outside Director, shall not count for purposes of this limitation.</w:t>
      </w:r>
    </w:p>
    <w:p>
      <w:pPr>
        <w:spacing w:after="0" w:line="161" w:lineRule="exact"/>
        <w:rPr>
          <w:rFonts w:ascii="Times New Roman" w:cs="Times New Roman" w:eastAsia="Times New Roman" w:hAnsi="Times New Roman"/>
          <w:sz w:val="18"/>
          <w:szCs w:val="18"/>
          <w:color w:val="auto"/>
        </w:rPr>
      </w:pPr>
    </w:p>
    <w:p>
      <w:pPr>
        <w:ind w:left="340" w:hanging="31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316"/>
        <w:spacing w:after="0" w:line="256" w:lineRule="auto"/>
        <w:tabs>
          <w:tab w:leader="none" w:pos="71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Options</w:t>
      </w:r>
      <w:r>
        <w:rPr>
          <w:rFonts w:ascii="Times New Roman" w:cs="Times New Roman" w:eastAsia="Times New Roman" w:hAnsi="Times New Roman"/>
          <w:sz w:val="18"/>
          <w:szCs w:val="18"/>
          <w:color w:val="auto"/>
        </w:rPr>
        <w:t>. Subject to the terms and conditions of the Plan, Options may be granted to Service Providers at any time and from time to time as will be determined by the Administrator, in its sole discretion. Subject to Section 6 and the other terms and conditions of the Plan, the Administrator will have complete discretion to determine the number of Shares granted to any Service Provider. Each Option shall be evidenced by an Award Agreement (which may be in electronic form) that shall specify the exercise price, the expiration date of the Option, the number of Shares covered by the Option, any conditions to exercise the Option, and such other terms and conditions as the Administrator, in its discretion, shall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241935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121" w:right="339" w:bottom="1440" w:gutter="0" w:footer="0" w:header="0"/>
        </w:sectPr>
      </w:pPr>
    </w:p>
    <w:bookmarkStart w:id="11" w:name="page12"/>
    <w:bookmarkEnd w:id="11"/>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Term of Option</w:t>
      </w:r>
      <w:r>
        <w:rPr>
          <w:rFonts w:ascii="Times New Roman" w:cs="Times New Roman" w:eastAsia="Times New Roman" w:hAnsi="Times New Roman"/>
          <w:sz w:val="18"/>
          <w:szCs w:val="18"/>
          <w:color w:val="auto"/>
        </w:rPr>
        <w:t>. The term of each Option will be stated in the Award Agreement. In the case of an Incentive Stock Option, the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Option Exercise Price and Consideration.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per share exercise price for the Shares to be issued pursuant to exercise of an Option will be determined by the</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Administrator, subject to the following:</w:t>
      </w:r>
    </w:p>
    <w:p>
      <w:pPr>
        <w:spacing w:after="0" w:line="207" w:lineRule="exact"/>
        <w:rPr>
          <w:sz w:val="20"/>
          <w:szCs w:val="20"/>
          <w:color w:val="auto"/>
        </w:rPr>
      </w:pPr>
    </w:p>
    <w:p>
      <w:pPr>
        <w:ind w:left="960"/>
        <w:spacing w:after="0"/>
        <w:tabs>
          <w:tab w:leader="none" w:pos="1420" w:val="left"/>
        </w:tabs>
        <w:rPr>
          <w:sz w:val="20"/>
          <w:szCs w:val="20"/>
          <w:color w:val="auto"/>
        </w:rPr>
      </w:pPr>
      <w:r>
        <w:rPr>
          <w:rFonts w:ascii="Times New Roman" w:cs="Times New Roman" w:eastAsia="Times New Roman" w:hAnsi="Times New Roman"/>
          <w:sz w:val="18"/>
          <w:szCs w:val="18"/>
          <w:color w:val="auto"/>
        </w:rPr>
        <w:t xml:space="preserve">(1) </w:t>
        <w:tab/>
        <w:t>In the case of an Incentive Stock Option</w:t>
      </w:r>
    </w:p>
    <w:p>
      <w:pPr>
        <w:spacing w:after="0" w:line="225" w:lineRule="exact"/>
        <w:rPr>
          <w:sz w:val="20"/>
          <w:szCs w:val="20"/>
          <w:color w:val="auto"/>
        </w:rPr>
      </w:pPr>
    </w:p>
    <w:p>
      <w:pPr>
        <w:jc w:val="both"/>
        <w:ind w:left="960" w:firstLine="486"/>
        <w:spacing w:after="0" w:line="266" w:lineRule="auto"/>
        <w:rPr>
          <w:sz w:val="20"/>
          <w:szCs w:val="20"/>
          <w:color w:val="auto"/>
        </w:rPr>
      </w:pPr>
      <w:r>
        <w:rPr>
          <w:rFonts w:ascii="Times New Roman" w:cs="Times New Roman" w:eastAsia="Times New Roman" w:hAnsi="Times New Roman"/>
          <w:sz w:val="18"/>
          <w:szCs w:val="18"/>
          <w:color w:val="auto"/>
        </w:rPr>
        <w:t>(A)  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w:t>
      </w:r>
    </w:p>
    <w:p>
      <w:pPr>
        <w:spacing w:after="0" w:line="176" w:lineRule="exact"/>
        <w:rPr>
          <w:sz w:val="20"/>
          <w:szCs w:val="20"/>
          <w:color w:val="auto"/>
        </w:rPr>
      </w:pPr>
    </w:p>
    <w:p>
      <w:pPr>
        <w:jc w:val="both"/>
        <w:ind w:left="960" w:firstLine="486"/>
        <w:spacing w:after="0" w:line="282" w:lineRule="auto"/>
        <w:rPr>
          <w:sz w:val="20"/>
          <w:szCs w:val="20"/>
          <w:color w:val="auto"/>
        </w:rPr>
      </w:pPr>
      <w:r>
        <w:rPr>
          <w:rFonts w:ascii="Times New Roman" w:cs="Times New Roman" w:eastAsia="Times New Roman" w:hAnsi="Times New Roman"/>
          <w:sz w:val="18"/>
          <w:szCs w:val="18"/>
          <w:color w:val="auto"/>
        </w:rPr>
        <w:t>(B)  granted to any Employee other than an Employee described in paragraph (A) immediately above, the per Share exercise price will be no less than one hundred percent (100%) of the Fair Market Value per Share on the date of grant.</w:t>
      </w:r>
    </w:p>
    <w:p>
      <w:pPr>
        <w:spacing w:after="0" w:line="162" w:lineRule="exact"/>
        <w:rPr>
          <w:sz w:val="20"/>
          <w:szCs w:val="20"/>
          <w:color w:val="auto"/>
        </w:rPr>
      </w:pPr>
    </w:p>
    <w:p>
      <w:pPr>
        <w:jc w:val="both"/>
        <w:ind w:left="640" w:firstLine="324"/>
        <w:spacing w:after="0" w:line="282" w:lineRule="auto"/>
        <w:rPr>
          <w:sz w:val="20"/>
          <w:szCs w:val="20"/>
          <w:color w:val="auto"/>
        </w:rPr>
      </w:pPr>
      <w:r>
        <w:rPr>
          <w:rFonts w:ascii="Times New Roman" w:cs="Times New Roman" w:eastAsia="Times New Roman" w:hAnsi="Times New Roman"/>
          <w:sz w:val="18"/>
          <w:szCs w:val="18"/>
          <w:color w:val="auto"/>
        </w:rPr>
        <w:t>(2)  In the case of a Nonstatutory Stock Option, the per Share exercise price will be no less than one hundred percent (100%) of the Fair Market Value per Share on the date of grant.</w:t>
      </w:r>
    </w:p>
    <w:p>
      <w:pPr>
        <w:spacing w:after="0" w:line="162" w:lineRule="exact"/>
        <w:rPr>
          <w:sz w:val="20"/>
          <w:szCs w:val="20"/>
          <w:color w:val="auto"/>
        </w:rPr>
      </w:pPr>
    </w:p>
    <w:p>
      <w:pPr>
        <w:jc w:val="both"/>
        <w:ind w:left="640" w:firstLine="324"/>
        <w:spacing w:after="0" w:line="266" w:lineRule="auto"/>
        <w:rPr>
          <w:sz w:val="20"/>
          <w:szCs w:val="20"/>
          <w:color w:val="auto"/>
        </w:rPr>
      </w:pPr>
      <w:r>
        <w:rPr>
          <w:rFonts w:ascii="Times New Roman" w:cs="Times New Roman" w:eastAsia="Times New Roman" w:hAnsi="Times New Roman"/>
          <w:sz w:val="18"/>
          <w:szCs w:val="18"/>
          <w:color w:val="auto"/>
        </w:rPr>
        <w:t>(3)  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spacing w:after="0" w:line="176" w:lineRule="exact"/>
        <w:rPr>
          <w:sz w:val="20"/>
          <w:szCs w:val="20"/>
          <w:color w:val="auto"/>
        </w:rPr>
      </w:pPr>
    </w:p>
    <w:p>
      <w:pPr>
        <w:ind w:left="320" w:firstLine="320"/>
        <w:spacing w:after="0" w:line="282" w:lineRule="auto"/>
        <w:tabs>
          <w:tab w:leader="none" w:pos="96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Waiting Period and Exercise Dates</w:t>
      </w:r>
      <w:r>
        <w:rPr>
          <w:rFonts w:ascii="Times New Roman" w:cs="Times New Roman" w:eastAsia="Times New Roman" w:hAnsi="Times New Roman"/>
          <w:sz w:val="18"/>
          <w:szCs w:val="18"/>
          <w:color w:val="auto"/>
        </w:rPr>
        <w:t>. At the time an Option is granted, the Administrator will fix the period within which the Option may be exercised and will determine any conditions that must be satisfied before the Option may be exercised.</w:t>
      </w:r>
    </w:p>
    <w:p>
      <w:pPr>
        <w:spacing w:after="0" w:line="161" w:lineRule="exact"/>
        <w:rPr>
          <w:rFonts w:ascii="Times New Roman" w:cs="Times New Roman" w:eastAsia="Times New Roman" w:hAnsi="Times New Roman"/>
          <w:sz w:val="18"/>
          <w:szCs w:val="18"/>
          <w:color w:val="auto"/>
        </w:rPr>
      </w:pPr>
    </w:p>
    <w:p>
      <w:pPr>
        <w:jc w:val="both"/>
        <w:ind w:left="320" w:firstLine="320"/>
        <w:spacing w:after="0" w:line="254" w:lineRule="auto"/>
        <w:tabs>
          <w:tab w:leader="none" w:pos="97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Consideration</w:t>
      </w:r>
      <w:r>
        <w:rPr>
          <w:rFonts w:ascii="Times New Roman" w:cs="Times New Roman" w:eastAsia="Times New Roman" w:hAnsi="Times New Roman"/>
          <w:sz w:val="18"/>
          <w:szCs w:val="18"/>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(3)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(4) consideration received by the Company under a broker-assisted (or other) cashless exercise program (whether through a broker or otherwise) implemented by the Company in connection with the Plan; (5) by net exercise; (6) such other consideration and method of payment for the issuance of Shares to the extent permitted by Applicable Laws; or (7) any combination of the foregoing methods of payment.</w:t>
      </w:r>
    </w:p>
    <w:p>
      <w:pPr>
        <w:spacing w:after="0" w:line="19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20" w:firstLine="324"/>
        <w:spacing w:after="0" w:line="266"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Procedure for Exercise; Rights as a Stockholder</w:t>
      </w:r>
      <w:r>
        <w:rPr>
          <w:rFonts w:ascii="Times New Roman" w:cs="Times New Roman" w:eastAsia="Times New Roman" w:hAnsi="Times New Roman"/>
          <w:sz w:val="18"/>
          <w:szCs w:val="18"/>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234950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121" w:right="339" w:bottom="1440" w:gutter="0" w:footer="0" w:header="0"/>
        </w:sectPr>
      </w:pPr>
    </w:p>
    <w:bookmarkStart w:id="12" w:name="page13"/>
    <w:bookmarkEnd w:id="12"/>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An Option will be deemed exercised when the Company receives: (i) a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14 of the Plan.</w:t>
      </w:r>
    </w:p>
    <w:p>
      <w:pPr>
        <w:spacing w:after="0" w:line="18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Exercising an Option in any manner will decrease the number of Shares thereafter available, both for purposes of the Plan and for sale under the Option, by the number of Shares as to which the Option is exercised.</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Termination of Relationship as a Service Provider</w:t>
      </w:r>
      <w:r>
        <w:rPr>
          <w:rFonts w:ascii="Times New Roman" w:cs="Times New Roman" w:eastAsia="Times New Roman" w:hAnsi="Times New Roman"/>
          <w:sz w:val="18"/>
          <w:szCs w:val="18"/>
          <w:color w:val="auto"/>
        </w:rPr>
        <w:t>. If a Participant ceases to be a Service Provider, other than upon the Participant’s termination as the result of the Participant’s death or Disability or termination for Cause,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thirty (30) days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9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u w:val="single" w:color="auto"/>
          <w:color w:val="auto"/>
        </w:rPr>
        <w:t>Disability of Participant</w:t>
      </w:r>
      <w:r>
        <w:rPr>
          <w:rFonts w:ascii="Times New Roman" w:cs="Times New Roman" w:eastAsia="Times New Roman" w:hAnsi="Times New Roman"/>
          <w:sz w:val="18"/>
          <w:szCs w:val="18"/>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six (6)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(iv)  </w:t>
      </w:r>
      <w:r>
        <w:rPr>
          <w:rFonts w:ascii="Times New Roman" w:cs="Times New Roman" w:eastAsia="Times New Roman" w:hAnsi="Times New Roman"/>
          <w:sz w:val="18"/>
          <w:szCs w:val="18"/>
          <w:u w:val="single" w:color="auto"/>
          <w:color w:val="auto"/>
        </w:rPr>
        <w:t>Death of Participant</w:t>
      </w:r>
      <w:r>
        <w:rPr>
          <w:rFonts w:ascii="Times New Roman" w:cs="Times New Roman" w:eastAsia="Times New Roman" w:hAnsi="Times New Roman"/>
          <w:sz w:val="18"/>
          <w:szCs w:val="18"/>
          <w:color w:val="auto"/>
        </w:rPr>
        <w:t>. If a Participant dies while a Service Provider, or dies within thirty (30) days following the day Participant ceases to be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245110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21" w:right="339" w:bottom="1440" w:gutter="0" w:footer="0" w:header="0"/>
        </w:sectPr>
      </w:pPr>
    </w:p>
    <w:bookmarkStart w:id="13" w:name="page14"/>
    <w:bookmarkEnd w:id="13"/>
    <w:p>
      <w:pPr>
        <w:jc w:val="both"/>
        <w:ind w:left="300" w:firstLine="324"/>
        <w:spacing w:after="0" w:line="252" w:lineRule="auto"/>
        <w:rPr>
          <w:sz w:val="20"/>
          <w:szCs w:val="20"/>
          <w:color w:val="auto"/>
        </w:rPr>
      </w:pPr>
      <w:r>
        <w:rPr>
          <w:rFonts w:ascii="Times New Roman" w:cs="Times New Roman" w:eastAsia="Times New Roman" w:hAnsi="Times New Roman"/>
          <w:sz w:val="18"/>
          <w:szCs w:val="18"/>
          <w:color w:val="auto"/>
        </w:rPr>
        <w:t xml:space="preserve">(v)  </w:t>
      </w: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 In the event a Participant ceases to be a Service Provider as a result of the Participant’s termination for Cause, the Option shall immediately terminate in its entirety upon first notification to the Participant of Participant’s termination for Cause. If a Participant Service Provider status is suspended pending an investigation of whether the Participant shall be terminated for Cause, all of the Participant’s rights under the Option likewise shall be suspended during the investigation period and the Participant shall have no right to exercise the Option. This Section 7(d)(v) shall apply with equal effect to vested Shares acquired upon exercise of the Option granted on any date on which the Common Stock is not listed on any established stock exchange or national market system, in that the Company shall have the right to repurchase such Shares from the Participant upon the following terms: (A) the repurchase is made within ninety (90) days of the date Participant ceases to be a Service Provider, at the Fair Market Value of the Shares as of the date of such termination, (B) consideration for the repurchase consists of cash or cancellation of purchase money indebtedness, and (C) the repurchase right terminates upon the effective date of the Company’s initial public offering of its Common Stock on any established stock exchange or national market system. Notwithstanding the foregoing, with respect to vested Shares issued upon exercise of an Option granted to any Officer, Director or Consultant, the Company’s right to repurchase such Shares upon the date that Participant ceases to be a Service Provider as a result of termination for Cause shall be made at the Participant’s original cost for the Shares and shall be effected pursuant to such terms and conditions, and at such time, as the Administrator shall determine. Nothing in this Section 7(d)(v) shall in any way limit the Company’s right to purchase unvested Shares issued upon exercise of an Option as set forth in the applicable Award Agreement.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8.   </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316"/>
        <w:spacing w:after="0" w:line="282" w:lineRule="auto"/>
        <w:tabs>
          <w:tab w:leader="none" w:pos="71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Restricted Stock</w:t>
      </w:r>
      <w:r>
        <w:rPr>
          <w:rFonts w:ascii="Times New Roman" w:cs="Times New Roman" w:eastAsia="Times New Roman" w:hAnsi="Times New Roman"/>
          <w:sz w:val="18"/>
          <w:szCs w:val="18"/>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61" w:lineRule="exact"/>
        <w:rPr>
          <w:rFonts w:ascii="Times New Roman" w:cs="Times New Roman" w:eastAsia="Times New Roman" w:hAnsi="Times New Roman"/>
          <w:sz w:val="18"/>
          <w:szCs w:val="18"/>
          <w:color w:val="auto"/>
        </w:rPr>
      </w:pPr>
    </w:p>
    <w:p>
      <w:pPr>
        <w:jc w:val="both"/>
        <w:ind w:left="-20" w:firstLine="316"/>
        <w:spacing w:after="0" w:line="261" w:lineRule="auto"/>
        <w:tabs>
          <w:tab w:leader="none" w:pos="64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Agreement</w:t>
      </w:r>
      <w:r>
        <w:rPr>
          <w:rFonts w:ascii="Times New Roman" w:cs="Times New Roman" w:eastAsia="Times New Roman" w:hAnsi="Times New Roman"/>
          <w:sz w:val="18"/>
          <w:szCs w:val="18"/>
          <w:color w:val="auto"/>
        </w:rPr>
        <w:t>. Subject to the limitations contained in Section 6,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79" w:lineRule="exact"/>
        <w:rPr>
          <w:rFonts w:ascii="Times New Roman" w:cs="Times New Roman" w:eastAsia="Times New Roman" w:hAnsi="Times New Roman"/>
          <w:sz w:val="18"/>
          <w:szCs w:val="18"/>
          <w:color w:val="auto"/>
        </w:rPr>
      </w:pPr>
    </w:p>
    <w:p>
      <w:pPr>
        <w:ind w:left="-20" w:firstLine="316"/>
        <w:spacing w:after="0" w:line="282" w:lineRule="auto"/>
        <w:tabs>
          <w:tab w:leader="none" w:pos="70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provided in this Section 8 or the Award Agreement, Shares of Restricted Stock may not be sold, transferred, pledged, assigned, or otherwise alienated or hypothecated until the end of the applicable Period of Restriction.</w:t>
      </w:r>
    </w:p>
    <w:p>
      <w:pPr>
        <w:spacing w:after="0" w:line="161" w:lineRule="exact"/>
        <w:rPr>
          <w:rFonts w:ascii="Times New Roman" w:cs="Times New Roman" w:eastAsia="Times New Roman" w:hAnsi="Times New Roman"/>
          <w:sz w:val="18"/>
          <w:szCs w:val="18"/>
          <w:color w:val="auto"/>
        </w:rPr>
      </w:pPr>
    </w:p>
    <w:p>
      <w:pPr>
        <w:ind w:left="-20" w:firstLine="316"/>
        <w:spacing w:after="0" w:line="282" w:lineRule="auto"/>
        <w:tabs>
          <w:tab w:leader="none" w:pos="649"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Restrictions</w:t>
      </w:r>
      <w:r>
        <w:rPr>
          <w:rFonts w:ascii="Times New Roman" w:cs="Times New Roman" w:eastAsia="Times New Roman" w:hAnsi="Times New Roman"/>
          <w:sz w:val="18"/>
          <w:szCs w:val="18"/>
          <w:color w:val="auto"/>
        </w:rPr>
        <w:t>. The Administrator, in its sole discretion, may impose such other restrictions on Shares of Restricted Stock as it may deem advisable or appropriate.</w:t>
      </w:r>
    </w:p>
    <w:p>
      <w:pPr>
        <w:spacing w:after="0" w:line="161" w:lineRule="exact"/>
        <w:rPr>
          <w:rFonts w:ascii="Times New Roman" w:cs="Times New Roman" w:eastAsia="Times New Roman" w:hAnsi="Times New Roman"/>
          <w:sz w:val="18"/>
          <w:szCs w:val="18"/>
          <w:color w:val="auto"/>
        </w:rPr>
      </w:pPr>
    </w:p>
    <w:p>
      <w:pPr>
        <w:jc w:val="both"/>
        <w:ind w:left="-20" w:firstLine="316"/>
        <w:spacing w:after="0" w:line="266" w:lineRule="auto"/>
        <w:tabs>
          <w:tab w:leader="none" w:pos="71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 of Restrictions</w:t>
      </w:r>
      <w:r>
        <w:rPr>
          <w:rFonts w:ascii="Times New Roman" w:cs="Times New Roman" w:eastAsia="Times New Roman" w:hAnsi="Times New Roman"/>
          <w:sz w:val="18"/>
          <w:szCs w:val="18"/>
          <w:color w:val="auto"/>
        </w:rPr>
        <w:t>.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75" w:lineRule="exact"/>
        <w:rPr>
          <w:rFonts w:ascii="Times New Roman" w:cs="Times New Roman" w:eastAsia="Times New Roman" w:hAnsi="Times New Roman"/>
          <w:sz w:val="18"/>
          <w:szCs w:val="18"/>
          <w:color w:val="auto"/>
        </w:rPr>
      </w:pPr>
    </w:p>
    <w:p>
      <w:pPr>
        <w:ind w:left="-20" w:firstLine="316"/>
        <w:spacing w:after="0" w:line="282" w:lineRule="auto"/>
        <w:tabs>
          <w:tab w:leader="none" w:pos="70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During the Period of Restriction, Service Providers holding Shares of Restricted Stock granted hereunder may exercise full voting rights with respect to those Shares, unless the Administrator determines otherwise.</w:t>
      </w:r>
    </w:p>
    <w:p>
      <w:pPr>
        <w:spacing w:after="0" w:line="161" w:lineRule="exact"/>
        <w:rPr>
          <w:rFonts w:ascii="Times New Roman" w:cs="Times New Roman" w:eastAsia="Times New Roman" w:hAnsi="Times New Roman"/>
          <w:sz w:val="18"/>
          <w:szCs w:val="18"/>
          <w:color w:val="auto"/>
        </w:rPr>
      </w:pPr>
    </w:p>
    <w:p>
      <w:pPr>
        <w:jc w:val="both"/>
        <w:ind w:left="-20" w:firstLine="316"/>
        <w:spacing w:after="0" w:line="261" w:lineRule="auto"/>
        <w:tabs>
          <w:tab w:leader="none" w:pos="66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Other Distributions</w:t>
      </w:r>
      <w:r>
        <w:rPr>
          <w:rFonts w:ascii="Times New Roman" w:cs="Times New Roman" w:eastAsia="Times New Roman" w:hAnsi="Times New Roman"/>
          <w:sz w:val="18"/>
          <w:szCs w:val="18"/>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236855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80"/>
          </w:cols>
          <w:pgMar w:left="680" w:top="121" w:right="339" w:bottom="1440" w:gutter="0" w:footer="0" w:header="0"/>
        </w:sectPr>
      </w:pPr>
    </w:p>
    <w:bookmarkStart w:id="14" w:name="page15"/>
    <w:bookmarkEnd w:id="14"/>
    <w:p>
      <w:pPr>
        <w:ind w:left="-28" w:firstLine="316"/>
        <w:spacing w:after="0" w:line="282" w:lineRule="auto"/>
        <w:tabs>
          <w:tab w:leader="none" w:pos="71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Restricted Stock to Company</w:t>
      </w:r>
      <w:r>
        <w:rPr>
          <w:rFonts w:ascii="Times New Roman" w:cs="Times New Roman" w:eastAsia="Times New Roman" w:hAnsi="Times New Roman"/>
          <w:sz w:val="18"/>
          <w:szCs w:val="18"/>
          <w:color w:val="auto"/>
        </w:rPr>
        <w:t>. On the date set forth in the Award Agreement, the Restricted Stock for which restrictions have not lapsed will revert to the Company and again will become available for grant under the Plan.</w:t>
      </w:r>
    </w:p>
    <w:p>
      <w:pPr>
        <w:spacing w:after="0" w:line="161" w:lineRule="exact"/>
        <w:rPr>
          <w:rFonts w:ascii="Times New Roman" w:cs="Times New Roman" w:eastAsia="Times New Roman" w:hAnsi="Times New Roman"/>
          <w:sz w:val="18"/>
          <w:szCs w:val="18"/>
          <w:color w:val="auto"/>
        </w:rPr>
      </w:pPr>
    </w:p>
    <w:p>
      <w:pPr>
        <w:jc w:val="both"/>
        <w:ind w:left="-28" w:firstLine="316"/>
        <w:spacing w:after="0" w:line="253" w:lineRule="auto"/>
        <w:tabs>
          <w:tab w:leader="none" w:pos="745"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 In the event a Participant ceases to be a Service Provider as a result of the Participant’s termination for Cause, the Participant paid consideration to purchase Shares granted pursuant to a Restricted Stock Award, and the Administrator granted the Award to purchase Restricted Stock on any date on which the Common Stock is not listed on any established stock exchange or national market system, the Company shall have the right to repurchase from the Participant the Shares of Restricted Stock purchased by Participant for which restrictions have lapsed upon the following terms: (A) the repurchase is made within ninety (90) days of the date Participant ceases to be a Service Provider at the Fair Market Value of the Shares as of the date of such termination, (B) consideration for the repurchase consists of cash or cancellation of purchase money indebtedness, and (C) the repurchase right terminates upon the effective date of the Company’s initial public offering of its Common Stock on any established stock exchange or national market system. Notwithstanding the foregoing, with respect to Restricted Stock issued to any Officer, Director or Consultant, the Company’s right to repurchase Shares of Restricted Stock for which restrictions have lapsed upon the date that Participant ceases to be a Service Provider as a result of termination for Cause shall be made at the Participant’s original cost for the Shares and shall be effected pursuant to such terms and conditions, and at such time, as the Administrator shall determine. Nothing in this Section 8(i) shall in any way limit the Company’s right to purchase Shares of Restricted Stock for which restrictions have not lapsed as set forth in the Award Agreement evidencing the applicable Award of Restricted Stock.</w:t>
      </w:r>
    </w:p>
    <w:p>
      <w:pPr>
        <w:spacing w:after="0" w:line="187"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28" w:firstLine="316"/>
        <w:spacing w:after="0" w:line="266" w:lineRule="auto"/>
        <w:tabs>
          <w:tab w:leader="none" w:pos="63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Restricted Stock Units may be granted at any time and from time to time as determined by the Administrator. Subject to the limitations contained in Section 6, after the Administrator determines that it will grant Restricted Stock Units under the Plan, it will advise the Participant in an Award Agreement of the terms, conditions, and restrictions related to the grant, including the number of Restricted Stock Units.</w:t>
      </w:r>
    </w:p>
    <w:p>
      <w:pPr>
        <w:spacing w:after="0" w:line="175" w:lineRule="exact"/>
        <w:rPr>
          <w:rFonts w:ascii="Times New Roman" w:cs="Times New Roman" w:eastAsia="Times New Roman" w:hAnsi="Times New Roman"/>
          <w:sz w:val="18"/>
          <w:szCs w:val="18"/>
          <w:color w:val="auto"/>
        </w:rPr>
      </w:pPr>
    </w:p>
    <w:p>
      <w:pPr>
        <w:jc w:val="both"/>
        <w:ind w:left="-28" w:firstLine="316"/>
        <w:spacing w:after="0" w:line="261" w:lineRule="auto"/>
        <w:tabs>
          <w:tab w:leader="none" w:pos="72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Criteria and Other Terms</w:t>
      </w:r>
      <w:r>
        <w:rPr>
          <w:rFonts w:ascii="Times New Roman" w:cs="Times New Roman" w:eastAsia="Times New Roman" w:hAnsi="Times New Roman"/>
          <w:sz w:val="18"/>
          <w:szCs w:val="18"/>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79" w:lineRule="exact"/>
        <w:rPr>
          <w:rFonts w:ascii="Times New Roman" w:cs="Times New Roman" w:eastAsia="Times New Roman" w:hAnsi="Times New Roman"/>
          <w:sz w:val="18"/>
          <w:szCs w:val="18"/>
          <w:color w:val="auto"/>
        </w:rPr>
      </w:pPr>
    </w:p>
    <w:p>
      <w:pPr>
        <w:jc w:val="both"/>
        <w:ind w:left="-28" w:firstLine="316"/>
        <w:spacing w:after="0" w:line="266" w:lineRule="auto"/>
        <w:tabs>
          <w:tab w:leader="none" w:pos="63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 Restricted Stock Units</w:t>
      </w:r>
      <w:r>
        <w:rPr>
          <w:rFonts w:ascii="Times New Roman" w:cs="Times New Roman" w:eastAsia="Times New Roman" w:hAnsi="Times New Roman"/>
          <w:sz w:val="18"/>
          <w:szCs w:val="18"/>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75" w:lineRule="exact"/>
        <w:rPr>
          <w:rFonts w:ascii="Times New Roman" w:cs="Times New Roman" w:eastAsia="Times New Roman" w:hAnsi="Times New Roman"/>
          <w:sz w:val="18"/>
          <w:szCs w:val="18"/>
          <w:color w:val="auto"/>
        </w:rPr>
      </w:pPr>
    </w:p>
    <w:p>
      <w:pPr>
        <w:jc w:val="both"/>
        <w:ind w:left="-28" w:firstLine="316"/>
        <w:spacing w:after="0" w:line="266" w:lineRule="auto"/>
        <w:tabs>
          <w:tab w:leader="none" w:pos="69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and Timing of Payment</w:t>
      </w:r>
      <w:r>
        <w:rPr>
          <w:rFonts w:ascii="Times New Roman" w:cs="Times New Roman" w:eastAsia="Times New Roman" w:hAnsi="Times New Roman"/>
          <w:sz w:val="18"/>
          <w:szCs w:val="18"/>
          <w:color w:val="auto"/>
        </w:rPr>
        <w:t>. Payment of earned Restricted Stock Units will be made as soon as practicable after the date(s) determined by the Administrator and set forth in the Award Agreement. The Administrator, in its sole discretion, may only settle earned Restricted Stock Units in cash, Shares, or a combination of both.</w:t>
      </w:r>
    </w:p>
    <w:p>
      <w:pPr>
        <w:spacing w:after="0" w:line="175" w:lineRule="exact"/>
        <w:rPr>
          <w:rFonts w:ascii="Times New Roman" w:cs="Times New Roman" w:eastAsia="Times New Roman" w:hAnsi="Times New Roman"/>
          <w:sz w:val="18"/>
          <w:szCs w:val="18"/>
          <w:color w:val="auto"/>
        </w:rPr>
      </w:pPr>
    </w:p>
    <w:p>
      <w:pPr>
        <w:ind w:left="-28" w:right="20" w:firstLine="316"/>
        <w:spacing w:after="0" w:line="282" w:lineRule="auto"/>
        <w:tabs>
          <w:tab w:leader="none" w:pos="68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On the date set forth in the Award Agreement, all unearned Restricted Stock Units will be forfeited to the Company and again will become available for grant under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225425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72"/>
          </w:cols>
          <w:pgMar w:left="688" w:top="121" w:right="339" w:bottom="1440" w:gutter="0" w:footer="0" w:header="0"/>
        </w:sectPr>
      </w:pPr>
    </w:p>
    <w:bookmarkStart w:id="15" w:name="page16"/>
    <w:bookmarkEnd w:id="15"/>
    <w:p>
      <w:pPr>
        <w:ind w:left="268" w:hanging="268"/>
        <w:spacing w:after="0"/>
        <w:tabs>
          <w:tab w:leader="none" w:pos="26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Appreciation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8" w:firstLine="316"/>
        <w:spacing w:after="0" w:line="282" w:lineRule="auto"/>
        <w:tabs>
          <w:tab w:leader="none" w:pos="73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Stock Appreciation Rights</w:t>
      </w:r>
      <w:r>
        <w:rPr>
          <w:rFonts w:ascii="Times New Roman" w:cs="Times New Roman" w:eastAsia="Times New Roman" w:hAnsi="Times New Roman"/>
          <w:sz w:val="18"/>
          <w:szCs w:val="18"/>
          <w:color w:val="auto"/>
        </w:rPr>
        <w:t>. Subject to the terms and conditions of the Plan, a Stock Appreciation Right may be granted to Service Providers at any time and from time to time as will be determined by the Administrator, in its sole discretion.</w:t>
      </w:r>
    </w:p>
    <w:p>
      <w:pPr>
        <w:spacing w:after="0" w:line="161" w:lineRule="exact"/>
        <w:rPr>
          <w:rFonts w:ascii="Times New Roman" w:cs="Times New Roman" w:eastAsia="Times New Roman" w:hAnsi="Times New Roman"/>
          <w:sz w:val="18"/>
          <w:szCs w:val="18"/>
          <w:color w:val="auto"/>
        </w:rPr>
      </w:pPr>
    </w:p>
    <w:p>
      <w:pPr>
        <w:ind w:left="8" w:firstLine="316"/>
        <w:spacing w:after="0" w:line="282" w:lineRule="auto"/>
        <w:tabs>
          <w:tab w:leader="none" w:pos="67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Subject to the limitations contained in Section 6, the Administrator will have complete discretion to determine the number of Stock Appreciation Rights granted to any Service Provider.</w:t>
      </w:r>
    </w:p>
    <w:p>
      <w:pPr>
        <w:spacing w:after="0" w:line="162" w:lineRule="exact"/>
        <w:rPr>
          <w:sz w:val="20"/>
          <w:szCs w:val="20"/>
          <w:color w:val="auto"/>
        </w:rPr>
      </w:pPr>
    </w:p>
    <w:p>
      <w:pPr>
        <w:jc w:val="both"/>
        <w:ind w:left="8" w:firstLine="324"/>
        <w:spacing w:after="0" w:line="26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Exercise Price and Other Terms</w:t>
      </w:r>
      <w:r>
        <w:rPr>
          <w:rFonts w:ascii="Times New Roman" w:cs="Times New Roman" w:eastAsia="Times New Roman" w:hAnsi="Times New Roman"/>
          <w:sz w:val="18"/>
          <w:szCs w:val="18"/>
          <w:color w:val="auto"/>
        </w:rPr>
        <w:t>. The per share exercise price for the Shares to be issued pursuant to exercise of a Stock Appreciation Right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80" w:lineRule="exact"/>
        <w:rPr>
          <w:sz w:val="20"/>
          <w:szCs w:val="20"/>
          <w:color w:val="auto"/>
        </w:rPr>
      </w:pPr>
    </w:p>
    <w:p>
      <w:pPr>
        <w:jc w:val="both"/>
        <w:ind w:left="8" w:firstLine="324"/>
        <w:spacing w:after="0" w:line="266"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Stock Appreciation Right Agreement</w:t>
      </w:r>
      <w:r>
        <w:rPr>
          <w:rFonts w:ascii="Times New Roman" w:cs="Times New Roman" w:eastAsia="Times New Roman" w:hAnsi="Times New Roman"/>
          <w:sz w:val="18"/>
          <w:szCs w:val="18"/>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76" w:lineRule="exact"/>
        <w:rPr>
          <w:sz w:val="20"/>
          <w:szCs w:val="20"/>
          <w:color w:val="auto"/>
        </w:rPr>
      </w:pPr>
    </w:p>
    <w:p>
      <w:pPr>
        <w:jc w:val="both"/>
        <w:ind w:left="8" w:firstLine="324"/>
        <w:spacing w:after="0" w:line="266"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Expiration of Stock Appreciation Rights</w:t>
      </w:r>
      <w:r>
        <w:rPr>
          <w:rFonts w:ascii="Times New Roman" w:cs="Times New Roman" w:eastAsia="Times New Roman" w:hAnsi="Times New Roman"/>
          <w:sz w:val="18"/>
          <w:szCs w:val="18"/>
          <w:color w:val="auto"/>
        </w:rPr>
        <w:t>. A Stock Appreciation Right granted under the Plan will expire upon the date determined by the Administrator, in its sole discretion, and set forth in the Award Agreement. Notwithstanding the foregoing, the rules of Section 7(b) relating to the maximum term and Section 7(d) relating to exercise and repurchase also will apply to Stock Appreciation Rights.</w:t>
      </w:r>
    </w:p>
    <w:p>
      <w:pPr>
        <w:spacing w:after="0" w:line="176" w:lineRule="exact"/>
        <w:rPr>
          <w:sz w:val="20"/>
          <w:szCs w:val="20"/>
          <w:color w:val="auto"/>
        </w:rPr>
      </w:pPr>
    </w:p>
    <w:p>
      <w:pPr>
        <w:jc w:val="both"/>
        <w:ind w:left="8" w:firstLine="324"/>
        <w:spacing w:after="0" w:line="28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Payment of Stock Appreciation Right Amount</w:t>
      </w:r>
      <w:r>
        <w:rPr>
          <w:rFonts w:ascii="Times New Roman" w:cs="Times New Roman" w:eastAsia="Times New Roman" w:hAnsi="Times New Roman"/>
          <w:sz w:val="18"/>
          <w:szCs w:val="18"/>
          <w:color w:val="auto"/>
        </w:rPr>
        <w:t>. Upon exercise of a Stock Appreciation Right, a Participant will be entitled to receive payment from the Company in an amount determined by multiplying:</w:t>
      </w:r>
    </w:p>
    <w:p>
      <w:pPr>
        <w:spacing w:after="0" w:line="162" w:lineRule="exact"/>
        <w:rPr>
          <w:sz w:val="20"/>
          <w:szCs w:val="20"/>
          <w:color w:val="auto"/>
        </w:rPr>
      </w:pPr>
    </w:p>
    <w:p>
      <w:pPr>
        <w:ind w:left="648"/>
        <w:spacing w:after="0"/>
        <w:tabs>
          <w:tab w:leader="none" w:pos="1108" w:val="left"/>
        </w:tabs>
        <w:rPr>
          <w:sz w:val="20"/>
          <w:szCs w:val="20"/>
          <w:color w:val="auto"/>
        </w:rPr>
      </w:pPr>
      <w:r>
        <w:rPr>
          <w:rFonts w:ascii="Times New Roman" w:cs="Times New Roman" w:eastAsia="Times New Roman" w:hAnsi="Times New Roman"/>
          <w:sz w:val="18"/>
          <w:szCs w:val="18"/>
          <w:color w:val="auto"/>
        </w:rPr>
        <w:t xml:space="preserve">(i) </w:t>
      </w:r>
      <w:r>
        <w:rPr>
          <w:sz w:val="20"/>
          <w:szCs w:val="20"/>
          <w:color w:val="auto"/>
        </w:rPr>
        <w:tab/>
      </w:r>
      <w:r>
        <w:rPr>
          <w:rFonts w:ascii="Times New Roman" w:cs="Times New Roman" w:eastAsia="Times New Roman" w:hAnsi="Times New Roman"/>
          <w:sz w:val="17"/>
          <w:szCs w:val="17"/>
          <w:color w:val="auto"/>
        </w:rPr>
        <w:t>The difference between the Fair Market Value of a Share on the date of exercise over the exercise price; times</w:t>
      </w:r>
    </w:p>
    <w:p>
      <w:pPr>
        <w:spacing w:after="0" w:line="225" w:lineRule="exact"/>
        <w:rPr>
          <w:sz w:val="20"/>
          <w:szCs w:val="20"/>
          <w:color w:val="auto"/>
        </w:rPr>
      </w:pPr>
    </w:p>
    <w:p>
      <w:pPr>
        <w:ind w:left="648"/>
        <w:spacing w:after="0"/>
        <w:tabs>
          <w:tab w:leader="none" w:pos="1108" w:val="left"/>
        </w:tabs>
        <w:rPr>
          <w:sz w:val="20"/>
          <w:szCs w:val="20"/>
          <w:color w:val="auto"/>
        </w:rPr>
      </w:pPr>
      <w:r>
        <w:rPr>
          <w:rFonts w:ascii="Times New Roman" w:cs="Times New Roman" w:eastAsia="Times New Roman" w:hAnsi="Times New Roman"/>
          <w:sz w:val="18"/>
          <w:szCs w:val="18"/>
          <w:color w:val="auto"/>
        </w:rPr>
        <w:t xml:space="preserve">(ii) </w:t>
        <w:tab/>
        <w:t>The number of Shares with respect to which the Stock Appreciation Right is exercised.</w:t>
      </w:r>
    </w:p>
    <w:p>
      <w:pPr>
        <w:spacing w:after="0" w:line="225" w:lineRule="exact"/>
        <w:rPr>
          <w:sz w:val="20"/>
          <w:szCs w:val="20"/>
          <w:color w:val="auto"/>
        </w:rPr>
      </w:pPr>
    </w:p>
    <w:p>
      <w:pPr>
        <w:ind w:left="328" w:right="20" w:firstLine="324"/>
        <w:spacing w:after="0" w:line="282" w:lineRule="auto"/>
        <w:rPr>
          <w:sz w:val="20"/>
          <w:szCs w:val="20"/>
          <w:color w:val="auto"/>
        </w:rPr>
      </w:pPr>
      <w:r>
        <w:rPr>
          <w:rFonts w:ascii="Times New Roman" w:cs="Times New Roman" w:eastAsia="Times New Roman" w:hAnsi="Times New Roman"/>
          <w:sz w:val="18"/>
          <w:szCs w:val="18"/>
          <w:color w:val="auto"/>
        </w:rPr>
        <w:t>At the discretion of the Administrator, the payment upon Stock Appreciation Right exercise may be in cash, in Shares of equivalent value, or in some combination thereof.</w:t>
      </w:r>
    </w:p>
    <w:p>
      <w:pPr>
        <w:spacing w:after="0" w:line="162" w:lineRule="exact"/>
        <w:rPr>
          <w:sz w:val="20"/>
          <w:szCs w:val="20"/>
          <w:color w:val="auto"/>
        </w:rPr>
      </w:pPr>
    </w:p>
    <w:p>
      <w:pPr>
        <w:ind w:left="308" w:hanging="272"/>
        <w:spacing w:after="0"/>
        <w:tabs>
          <w:tab w:leader="none" w:pos="30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Units and Performance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8" w:firstLine="324"/>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Grant of Performance Units/Shares</w:t>
      </w:r>
      <w:r>
        <w:rPr>
          <w:rFonts w:ascii="Times New Roman" w:cs="Times New Roman" w:eastAsia="Times New Roman" w:hAnsi="Times New Roman"/>
          <w:sz w:val="18"/>
          <w:szCs w:val="18"/>
          <w:color w:val="auto"/>
        </w:rPr>
        <w:t>. Performance Units and Performance Shares may be granted to Service Providers at any time and from time to time, as will be determined by the Administrator, in its sole discretion. Subject to the limitations contained in Section 6, the Administrator will have complete discretion in determining the number of Performance Units and Performance Shares granted to each Participant.</w:t>
      </w:r>
    </w:p>
    <w:p>
      <w:pPr>
        <w:spacing w:after="0" w:line="176" w:lineRule="exact"/>
        <w:rPr>
          <w:sz w:val="20"/>
          <w:szCs w:val="20"/>
          <w:color w:val="auto"/>
        </w:rPr>
      </w:pPr>
    </w:p>
    <w:p>
      <w:pPr>
        <w:ind w:left="8" w:firstLine="316"/>
        <w:spacing w:after="0" w:line="282" w:lineRule="auto"/>
        <w:tabs>
          <w:tab w:leader="none" w:pos="72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Value of Performance Units/Shares</w:t>
      </w:r>
      <w:r>
        <w:rPr>
          <w:rFonts w:ascii="Times New Roman" w:cs="Times New Roman" w:eastAsia="Times New Roman" w:hAnsi="Times New Roman"/>
          <w:sz w:val="18"/>
          <w:szCs w:val="18"/>
          <w:color w:val="auto"/>
        </w:rPr>
        <w:t>. Each Performance Unit will have an initial value that is established by the Administrator on or before the date of grant. Each Performance Share will have an initial value equal to the Fair Market Value of a Share on the date of grant.</w:t>
      </w:r>
    </w:p>
    <w:p>
      <w:pPr>
        <w:spacing w:after="0" w:line="161" w:lineRule="exact"/>
        <w:rPr>
          <w:rFonts w:ascii="Times New Roman" w:cs="Times New Roman" w:eastAsia="Times New Roman" w:hAnsi="Times New Roman"/>
          <w:sz w:val="18"/>
          <w:szCs w:val="18"/>
          <w:color w:val="auto"/>
        </w:rPr>
      </w:pPr>
    </w:p>
    <w:p>
      <w:pPr>
        <w:jc w:val="both"/>
        <w:ind w:left="8" w:firstLine="316"/>
        <w:spacing w:after="0" w:line="254"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Objectives and Other Terms</w:t>
      </w:r>
      <w:r>
        <w:rPr>
          <w:rFonts w:ascii="Times New Roman" w:cs="Times New Roman" w:eastAsia="Times New Roman" w:hAnsi="Times New Roman"/>
          <w:sz w:val="18"/>
          <w:szCs w:val="18"/>
          <w:color w:val="auto"/>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and will consist of any Fiscal Year of the Company or such other period as determined by the Administrator in its sole discretion.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244475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21" w:right="339" w:bottom="1440" w:gutter="0" w:footer="0" w:header="0"/>
        </w:sectPr>
      </w:pPr>
    </w:p>
    <w:bookmarkStart w:id="16" w:name="page17"/>
    <w:bookmarkEnd w:id="16"/>
    <w:p>
      <w:pPr>
        <w:jc w:val="both"/>
        <w:ind w:firstLine="316"/>
        <w:spacing w:after="0" w:line="258" w:lineRule="auto"/>
        <w:tabs>
          <w:tab w:leader="none" w:pos="75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 of Performance Units/Shares</w:t>
      </w:r>
      <w:r>
        <w:rPr>
          <w:rFonts w:ascii="Times New Roman" w:cs="Times New Roman" w:eastAsia="Times New Roman" w:hAnsi="Times New Roman"/>
          <w:sz w:val="18"/>
          <w:szCs w:val="18"/>
          <w:color w:val="auto"/>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Form and Timing of Payment of Performance Units/Shares</w:t>
      </w:r>
      <w:r>
        <w:rPr>
          <w:rFonts w:ascii="Times New Roman" w:cs="Times New Roman" w:eastAsia="Times New Roman" w:hAnsi="Times New Roman"/>
          <w:sz w:val="18"/>
          <w:szCs w:val="18"/>
          <w:color w:val="auto"/>
        </w:rPr>
        <w:t>.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Cancellation of Performance Units/Shares</w:t>
      </w:r>
      <w:r>
        <w:rPr>
          <w:rFonts w:ascii="Times New Roman" w:cs="Times New Roman" w:eastAsia="Times New Roman" w:hAnsi="Times New Roman"/>
          <w:sz w:val="18"/>
          <w:szCs w:val="18"/>
          <w:color w:val="auto"/>
        </w:rPr>
        <w:t>. On the date set forth in the Award Agreement, all unearned or unvested Performance Units/Shares will be forfeited to the Company, and again will be available for grant under the Plan.</w:t>
      </w:r>
    </w:p>
    <w:p>
      <w:pPr>
        <w:spacing w:after="0" w:line="162" w:lineRule="exact"/>
        <w:rPr>
          <w:sz w:val="20"/>
          <w:szCs w:val="20"/>
          <w:color w:val="auto"/>
        </w:rPr>
      </w:pPr>
    </w:p>
    <w:p>
      <w:pPr>
        <w:jc w:val="both"/>
        <w:ind w:left="-340" w:firstLine="368"/>
        <w:spacing w:after="0" w:line="254" w:lineRule="auto"/>
        <w:tabs>
          <w:tab w:leader="none" w:pos="31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Leaves of Absence/Transfer Between Locations</w:t>
      </w:r>
      <w:r>
        <w:rPr>
          <w:rFonts w:ascii="Times New Roman" w:cs="Times New Roman" w:eastAsia="Times New Roman" w:hAnsi="Times New Roman"/>
          <w:sz w:val="18"/>
          <w:szCs w:val="18"/>
          <w:color w:val="auto"/>
        </w:rPr>
        <w:t>. Unless the Administrator provides otherwise, vesting of Awards granted hereunder will be suspended during any unpaid leave of absence. A Participant will not cease to be an Employee in the case of (i) any military leave of absence, sick leave of absence, or other leave of absence approved by the Company, provided that such leave is not for a period of more than ninety (90) days unless reemployment upon expiration of such leave is guaranteed by contract, statute, or Company policy, or (ii) transfers between locations of the Company or between the Company, its Parent, or any Subsidiary or other Affiliate.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(1st) day of such leave any Incentive Stock Option held by the Participant will cease to be treated as an Incentive Stock Option and will be treated for tax purposes as a Nonstatutory Stock Option.</w:t>
      </w:r>
    </w:p>
    <w:p>
      <w:pPr>
        <w:spacing w:after="0" w:line="191" w:lineRule="exact"/>
        <w:rPr>
          <w:rFonts w:ascii="Times New Roman" w:cs="Times New Roman" w:eastAsia="Times New Roman" w:hAnsi="Times New Roman"/>
          <w:sz w:val="18"/>
          <w:szCs w:val="18"/>
          <w:color w:val="auto"/>
        </w:rPr>
      </w:pPr>
    </w:p>
    <w:p>
      <w:pPr>
        <w:jc w:val="both"/>
        <w:ind w:left="-340" w:firstLine="368"/>
        <w:spacing w:after="0" w:line="261" w:lineRule="auto"/>
        <w:tabs>
          <w:tab w:leader="none" w:pos="30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Awards</w:t>
      </w:r>
      <w:r>
        <w:rPr>
          <w:rFonts w:ascii="Times New Roman" w:cs="Times New Roman" w:eastAsia="Times New Roman" w:hAnsi="Times New Roman"/>
          <w:sz w:val="18"/>
          <w:szCs w:val="18"/>
          <w:color w:val="auto"/>
        </w:rPr>
        <w:t>. Unless determined otherwise by the Administrator (and subject to the provisions of Section 6 that provides that the Administrator cannot institute an Exchange Program),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w:t>
      </w:r>
    </w:p>
    <w:p>
      <w:pPr>
        <w:spacing w:after="0" w:line="179" w:lineRule="exact"/>
        <w:rPr>
          <w:rFonts w:ascii="Times New Roman" w:cs="Times New Roman" w:eastAsia="Times New Roman" w:hAnsi="Times New Roman"/>
          <w:sz w:val="18"/>
          <w:szCs w:val="18"/>
          <w:color w:val="auto"/>
        </w:rPr>
      </w:pPr>
    </w:p>
    <w:p>
      <w:pPr>
        <w:ind w:left="300" w:hanging="272"/>
        <w:spacing w:after="0"/>
        <w:tabs>
          <w:tab w:leader="none" w:pos="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Dissolution or Liquidation; Merger or Change in Control.</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 the number, class, and/or price of shares of stock covered by each outstanding Award or make other reasonable adjustments, and the numerical Share limits in Section 3 and Section 6 of the Plan. The determination of any adjustment under this Section 14 will be made by the Administrator in its discretion. Notwithstanding the preceding, the number of Shares subject to any Award always will be a whole number.</w:t>
      </w:r>
    </w:p>
    <w:p>
      <w:pPr>
        <w:spacing w:after="0" w:line="192" w:lineRule="exact"/>
        <w:rPr>
          <w:sz w:val="20"/>
          <w:szCs w:val="20"/>
          <w:color w:val="auto"/>
        </w:rPr>
      </w:pPr>
    </w:p>
    <w:p>
      <w:pPr>
        <w:jc w:val="both"/>
        <w:ind w:firstLine="352"/>
        <w:spacing w:after="0" w:line="266" w:lineRule="auto"/>
        <w:tabs>
          <w:tab w:leader="none" w:pos="71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 or Liquidation</w:t>
      </w:r>
      <w:r>
        <w:rPr>
          <w:rFonts w:ascii="Times New Roman" w:cs="Times New Roman" w:eastAsia="Times New Roman" w:hAnsi="Times New Roman"/>
          <w:sz w:val="18"/>
          <w:szCs w:val="18"/>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234950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121" w:right="339" w:bottom="1440" w:gutter="0" w:footer="0" w:header="0"/>
        </w:sectPr>
      </w:pPr>
    </w:p>
    <w:bookmarkStart w:id="17" w:name="page18"/>
    <w:bookmarkEnd w:id="17"/>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In the event of a merger of the Company with or into another corporation or other entity or a Change in Control, each outstanding Award will be treated as the Administrator determines, including, without limitation, that each Award be assumed or an equivalent option or right substituted by the successor corporation or a Parent or Subsidiary of the successor corporation. The Administrator will not be required to treat all Awards similarly in the transaction.</w:t>
      </w:r>
    </w:p>
    <w:p>
      <w:pPr>
        <w:spacing w:after="0" w:line="180"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17"/>
          <w:szCs w:val="17"/>
          <w:color w:val="auto"/>
        </w:rPr>
        <w:t>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is not assumed or substituted in the event of a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7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Change in Control.</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Notwithstanding anything in this Section 14(c)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180" w:lineRule="exact"/>
        <w:rPr>
          <w:sz w:val="20"/>
          <w:szCs w:val="20"/>
          <w:color w:val="auto"/>
        </w:rPr>
      </w:pPr>
    </w:p>
    <w:p>
      <w:pPr>
        <w:ind w:left="340" w:hanging="31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Withholding Requirements</w:t>
      </w:r>
      <w:r>
        <w:rPr>
          <w:rFonts w:ascii="Times New Roman" w:cs="Times New Roman" w:eastAsia="Times New Roman" w:hAnsi="Times New Roman"/>
          <w:sz w:val="18"/>
          <w:szCs w:val="18"/>
          <w:color w:val="auto"/>
        </w:rPr>
        <w:t>. Prior to the delivery of any Shares or cash pursuant to an Award (or exercise thereof) or such earlier time as any tax withholding obligations are due,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spacing w:after="0" w:line="180" w:lineRule="exact"/>
        <w:rPr>
          <w:sz w:val="20"/>
          <w:szCs w:val="20"/>
          <w:color w:val="auto"/>
        </w:rPr>
      </w:pPr>
    </w:p>
    <w:p>
      <w:pPr>
        <w:jc w:val="both"/>
        <w:ind w:firstLine="316"/>
        <w:spacing w:after="0" w:line="253" w:lineRule="auto"/>
        <w:tabs>
          <w:tab w:leader="none" w:pos="75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Arrangements</w:t>
      </w:r>
      <w:r>
        <w:rPr>
          <w:rFonts w:ascii="Times New Roman" w:cs="Times New Roman" w:eastAsia="Times New Roman" w:hAnsi="Times New Roman"/>
          <w:sz w:val="18"/>
          <w:szCs w:val="18"/>
          <w:color w:val="auto"/>
        </w:rPr>
        <w:t>. The Administrator, in its sole discretion and pursuant to such procedures as it may specify from time to time, may permit a Participant to satisfy such tax withholding obligation, in whole or in part by (without limitation) (a) paying cash, (b)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(c) delivering to the Company already-owned Shares having a fair market value equal to the minimum statutory amount required to be withheld or such greater amount as the Administrator may determine if such amount would not have adverse accounting consequences, as the Administrator determines in its sole discretion, or (d) selling a sufficient number of Shares otherwise deliverable to the Participant through such means as the Administrator may determine in its sole discretion (whether through a broker or otherwise) equal to the amount required to be withheld. The fair market value of the Shares to be withheld or delivered will be determined as of the date that the taxes are required to be withheld.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246380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121" w:right="339" w:bottom="1440" w:gutter="0" w:footer="0" w:header="0"/>
        </w:sectPr>
      </w:pPr>
    </w:p>
    <w:bookmarkStart w:id="18" w:name="page19"/>
    <w:bookmarkEnd w:id="18"/>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Compliance With Code Section 409A</w:t>
      </w:r>
      <w:r>
        <w:rPr>
          <w:rFonts w:ascii="Times New Roman" w:cs="Times New Roman" w:eastAsia="Times New Roman" w:hAnsi="Times New Roman"/>
          <w:sz w:val="18"/>
          <w:szCs w:val="18"/>
          <w:color w:val="auto"/>
        </w:rPr>
        <w:t>. Awards will be designed and operated in such a manner that they are either exempt from the application of, or comply with, the requirements of Code Section 409A such that the grant, payment, settlement or deferral will not be subject to the additional tax or interest applicable under Code Section 409A, except as otherwise determined in the sole discretion of the Administrator. The Plan and each Award Agreement under the Plan are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 Section 409A.</w:t>
      </w:r>
    </w:p>
    <w:p>
      <w:pPr>
        <w:spacing w:after="0" w:line="192" w:lineRule="exact"/>
        <w:rPr>
          <w:sz w:val="20"/>
          <w:szCs w:val="20"/>
          <w:color w:val="auto"/>
        </w:rPr>
      </w:pPr>
    </w:p>
    <w:p>
      <w:pPr>
        <w:jc w:val="both"/>
        <w:ind w:left="-340" w:firstLine="368"/>
        <w:spacing w:after="0" w:line="266" w:lineRule="auto"/>
        <w:tabs>
          <w:tab w:leader="none" w:pos="36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Effect on Employment or Service</w:t>
      </w:r>
      <w:r>
        <w:rPr>
          <w:rFonts w:ascii="Times New Roman" w:cs="Times New Roman" w:eastAsia="Times New Roman" w:hAnsi="Times New Roman"/>
          <w:sz w:val="18"/>
          <w:szCs w:val="18"/>
          <w:color w:val="auto"/>
        </w:rPr>
        <w:t>.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w:t>
      </w:r>
    </w:p>
    <w:p>
      <w:pPr>
        <w:spacing w:after="0" w:line="175" w:lineRule="exact"/>
        <w:rPr>
          <w:rFonts w:ascii="Times New Roman" w:cs="Times New Roman" w:eastAsia="Times New Roman" w:hAnsi="Times New Roman"/>
          <w:sz w:val="18"/>
          <w:szCs w:val="18"/>
          <w:color w:val="auto"/>
        </w:rPr>
      </w:pPr>
    </w:p>
    <w:p>
      <w:pPr>
        <w:jc w:val="both"/>
        <w:ind w:left="-340" w:firstLine="368"/>
        <w:spacing w:after="0" w:line="266" w:lineRule="auto"/>
        <w:tabs>
          <w:tab w:leader="none" w:pos="29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75" w:lineRule="exact"/>
        <w:rPr>
          <w:rFonts w:ascii="Times New Roman" w:cs="Times New Roman" w:eastAsia="Times New Roman" w:hAnsi="Times New Roman"/>
          <w:sz w:val="18"/>
          <w:szCs w:val="18"/>
          <w:color w:val="auto"/>
        </w:rPr>
      </w:pPr>
    </w:p>
    <w:p>
      <w:pPr>
        <w:jc w:val="both"/>
        <w:ind w:left="-340" w:firstLine="368"/>
        <w:spacing w:after="0" w:line="266" w:lineRule="auto"/>
        <w:tabs>
          <w:tab w:leader="none" w:pos="30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Plan</w:t>
      </w:r>
      <w:r>
        <w:rPr>
          <w:rFonts w:ascii="Times New Roman" w:cs="Times New Roman" w:eastAsia="Times New Roman" w:hAnsi="Times New Roman"/>
          <w:sz w:val="18"/>
          <w:szCs w:val="18"/>
          <w:color w:val="auto"/>
        </w:rPr>
        <w:t>. The Plan became effective upon its approval by the Company’s stockholders at the 2023 Annual Meeting of Stockholders (the “Effective Date”). The Plan will continue in effect until terminated under Section 19 of the Plan, but no Options that qualify as Incentive Stock Options may be granted after ten (10) years from the Restatement Date.</w:t>
      </w:r>
    </w:p>
    <w:p>
      <w:pPr>
        <w:spacing w:after="0" w:line="175" w:lineRule="exact"/>
        <w:rPr>
          <w:rFonts w:ascii="Times New Roman" w:cs="Times New Roman" w:eastAsia="Times New Roman" w:hAnsi="Times New Roman"/>
          <w:sz w:val="18"/>
          <w:szCs w:val="18"/>
          <w:color w:val="auto"/>
        </w:rPr>
      </w:pPr>
    </w:p>
    <w:p>
      <w:pPr>
        <w:ind w:left="340" w:hanging="31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 of the Plan.</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Amendment and Termination</w:t>
      </w:r>
      <w:r>
        <w:rPr>
          <w:rFonts w:ascii="Times New Roman" w:cs="Times New Roman" w:eastAsia="Times New Roman" w:hAnsi="Times New Roman"/>
          <w:sz w:val="18"/>
          <w:szCs w:val="18"/>
          <w:color w:val="auto"/>
        </w:rPr>
        <w:t>. The Administrator may at any time amend, alter, suspend or terminate the Plan.</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Company will obtain stockholder approval of any Plan amendment to the extent necessary and desirable to comply with Applicable Laws.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Effect of Amendment or Termination</w:t>
      </w:r>
      <w:r>
        <w:rPr>
          <w:rFonts w:ascii="Times New Roman" w:cs="Times New Roman" w:eastAsia="Times New Roman" w:hAnsi="Times New Roman"/>
          <w:sz w:val="18"/>
          <w:szCs w:val="18"/>
          <w:color w:val="auto"/>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80" w:lineRule="exact"/>
        <w:rPr>
          <w:sz w:val="20"/>
          <w:szCs w:val="20"/>
          <w:color w:val="auto"/>
        </w:rPr>
      </w:pPr>
    </w:p>
    <w:p>
      <w:pPr>
        <w:ind w:left="300" w:hanging="272"/>
        <w:spacing w:after="0"/>
        <w:tabs>
          <w:tab w:leader="none" w:pos="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Upon Issuance of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Legal Compliance</w:t>
      </w:r>
      <w:r>
        <w:rPr>
          <w:rFonts w:ascii="Times New Roman" w:cs="Times New Roman" w:eastAsia="Times New Roman" w:hAnsi="Times New Roman"/>
          <w:sz w:val="18"/>
          <w:szCs w:val="18"/>
          <w:color w:val="auto"/>
        </w:rPr>
        <w:t>. The granting of Awards and the issuance and delivery of Shares under the Plan shall be subject to all Applicable Laws, rule and regulations, and to such approvals by any governmental agencies or national securities exchanges as may be required. Shares will not be issued pursuant to the exercise or vesting of an Award unless the exercise or vesting of such Award and the issuance and delivery of such Shares will comply with Applicable Laws, rules and regulations and will be further subject to the approval of counsel for the Company with respect to such compliance.</w:t>
      </w:r>
    </w:p>
    <w:p>
      <w:pPr>
        <w:spacing w:after="0" w:line="183" w:lineRule="exact"/>
        <w:rPr>
          <w:sz w:val="20"/>
          <w:szCs w:val="20"/>
          <w:color w:val="auto"/>
        </w:rPr>
      </w:pPr>
    </w:p>
    <w:p>
      <w:pPr>
        <w:jc w:val="both"/>
        <w:ind w:firstLine="316"/>
        <w:spacing w:after="0" w:line="266" w:lineRule="auto"/>
        <w:tabs>
          <w:tab w:leader="none" w:pos="66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Representations</w:t>
      </w:r>
      <w:r>
        <w:rPr>
          <w:rFonts w:ascii="Times New Roman" w:cs="Times New Roman" w:eastAsia="Times New Roman" w:hAnsi="Times New Roman"/>
          <w:sz w:val="18"/>
          <w:szCs w:val="18"/>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234950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121" w:right="339" w:bottom="1440" w:gutter="0" w:footer="0" w:header="0"/>
        </w:sectPr>
      </w:pPr>
    </w:p>
    <w:bookmarkStart w:id="19" w:name="page20"/>
    <w:bookmarkEnd w:id="19"/>
    <w:p>
      <w:pPr>
        <w:jc w:val="both"/>
        <w:ind w:left="-368" w:firstLine="368"/>
        <w:spacing w:after="0" w:line="256" w:lineRule="auto"/>
        <w:tabs>
          <w:tab w:leader="none" w:pos="27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Inability to Obtain Authority</w:t>
      </w:r>
      <w:r>
        <w:rPr>
          <w:rFonts w:ascii="Times New Roman" w:cs="Times New Roman" w:eastAsia="Times New Roman" w:hAnsi="Times New Roman"/>
          <w:sz w:val="18"/>
          <w:szCs w:val="18"/>
          <w:color w:val="auto"/>
        </w:rPr>
        <w:t>. The inability of the Company to obtain authority from any regulatory body having jurisdiction or to complete or comply with the requirements of any registration or other qualification of the Shares under any state, federal or foreign law or under the rules and regulations of the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w:t>
      </w:r>
    </w:p>
    <w:p>
      <w:pPr>
        <w:spacing w:after="0" w:line="187" w:lineRule="exact"/>
        <w:rPr>
          <w:rFonts w:ascii="Times New Roman" w:cs="Times New Roman" w:eastAsia="Times New Roman" w:hAnsi="Times New Roman"/>
          <w:sz w:val="18"/>
          <w:szCs w:val="18"/>
          <w:color w:val="auto"/>
        </w:rPr>
      </w:pPr>
    </w:p>
    <w:p>
      <w:pPr>
        <w:ind w:left="-368" w:firstLine="368"/>
        <w:spacing w:after="0" w:line="282" w:lineRule="auto"/>
        <w:tabs>
          <w:tab w:leader="none" w:pos="26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Plan will be subject to approval by the stockholders of the Company within twelve (12) months after the Restatement Date. Such stockholder approval will be obtained in the manner and to the degree required under Applicable Laws.</w:t>
      </w:r>
    </w:p>
    <w:p>
      <w:pPr>
        <w:spacing w:after="0" w:line="161" w:lineRule="exact"/>
        <w:rPr>
          <w:rFonts w:ascii="Times New Roman" w:cs="Times New Roman" w:eastAsia="Times New Roman" w:hAnsi="Times New Roman"/>
          <w:sz w:val="18"/>
          <w:szCs w:val="18"/>
          <w:color w:val="auto"/>
        </w:rPr>
      </w:pPr>
    </w:p>
    <w:p>
      <w:pPr>
        <w:jc w:val="both"/>
        <w:ind w:left="-368" w:firstLine="368"/>
        <w:spacing w:after="0" w:line="254" w:lineRule="auto"/>
        <w:tabs>
          <w:tab w:leader="none" w:pos="26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Events</w:t>
      </w:r>
      <w:r>
        <w:rPr>
          <w:rFonts w:ascii="Times New Roman" w:cs="Times New Roman" w:eastAsia="Times New Roman" w:hAnsi="Times New Roman"/>
          <w:sz w:val="18"/>
          <w:szCs w:val="18"/>
          <w:color w:val="auto"/>
        </w:rPr>
        <w:t>. The Administrator may specify in an Award Agreement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may include, but shall not be limited to, fraud, breach of a fiduciary duty, restatement of financial statements as a result of fraud or willful errors or omissions, termination of employment for cause, violation of material Company and/or Subsidiary policies, breach of non-competition, confidentiality, or other restrictive covenants that may apply to the Participant, or other conduct by the Participant that is detrimental to the business or reputation of the Company and/or its Subsidiaries. The Administrator may also require the application of this Section with respect to any Award previously granted to a Participant even without any specified terms being included in any applicable Award Agreement to the extent required under Applicable Laws.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330200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872"/>
      </w:cols>
      <w:pgMar w:left="688"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1."/>
      <w:numFmt w:val="decimal"/>
      <w:start w:val="1"/>
    </w:lvl>
    <w:lvl w:ilvl="1">
      <w:lvlJc w:val="left"/>
      <w:lvlText w:val="•"/>
      <w:numFmt w:val="bullet"/>
      <w:start w:val="1"/>
    </w:lvl>
  </w:abstractNum>
  <w:abstractNum w:abstractNumId="2">
    <w:nsid w:val="436C6125"/>
    <w:multiLevelType w:val="hybridMultilevel"/>
    <w:lvl w:ilvl="0">
      <w:lvlJc w:val="left"/>
      <w:lvlText w:val="%1."/>
      <w:numFmt w:val="decimal"/>
      <w:start w:val="2"/>
    </w:lvl>
  </w:abstractNum>
  <w:abstractNum w:abstractNumId="3">
    <w:nsid w:val="628C895D"/>
    <w:multiLevelType w:val="hybridMultilevel"/>
    <w:lvl w:ilvl="0">
      <w:lvlJc w:val="left"/>
      <w:lvlText w:val="(%1)"/>
      <w:numFmt w:val="lowerLetter"/>
      <w:start w:val="8"/>
    </w:lvl>
  </w:abstractNum>
  <w:abstractNum w:abstractNumId="4">
    <w:nsid w:val="333AB105"/>
    <w:multiLevelType w:val="hybridMultilevel"/>
    <w:lvl w:ilvl="0">
      <w:lvlJc w:val="left"/>
      <w:lvlText w:val="(%1)"/>
      <w:numFmt w:val="lowerRoman"/>
      <w:start w:val="2"/>
    </w:lvl>
  </w:abstractNum>
  <w:abstractNum w:abstractNumId="5">
    <w:nsid w:val="721DA317"/>
    <w:multiLevelType w:val="hybridMultilevel"/>
    <w:lvl w:ilvl="0">
      <w:lvlJc w:val="left"/>
      <w:lvlText w:val="%1"/>
      <w:numFmt w:val="lowerLetter"/>
      <w:start w:val="1"/>
    </w:lvl>
    <w:lvl w:ilvl="1">
      <w:lvlJc w:val="left"/>
      <w:lvlText w:val="(%2)"/>
      <w:numFmt w:val="lowerLetter"/>
      <w:start w:val="13"/>
    </w:lvl>
  </w:abstractNum>
  <w:abstractNum w:abstractNumId="6">
    <w:nsid w:val="2443A858"/>
    <w:multiLevelType w:val="hybridMultilevel"/>
    <w:lvl w:ilvl="0">
      <w:lvlJc w:val="left"/>
      <w:lvlText w:val="(%1)"/>
      <w:numFmt w:val="lowerLetter"/>
      <w:start w:val="35"/>
    </w:lvl>
    <w:lvl w:ilvl="1">
      <w:lvlJc w:val="left"/>
      <w:lvlText w:val="%2"/>
      <w:numFmt w:val="lowerLetter"/>
      <w:start w:val="1"/>
    </w:lvl>
  </w:abstractNum>
  <w:abstractNum w:abstractNumId="7">
    <w:nsid w:val="2D1D5AE9"/>
    <w:multiLevelType w:val="hybridMultilevel"/>
    <w:lvl w:ilvl="0">
      <w:lvlJc w:val="left"/>
      <w:lvlText w:val="(%1)"/>
      <w:numFmt w:val="lowerLetter"/>
      <w:start w:val="16"/>
    </w:lvl>
  </w:abstractNum>
  <w:abstractNum w:abstractNumId="8">
    <w:nsid w:val="6763845E"/>
    <w:multiLevelType w:val="hybridMultilevel"/>
    <w:lvl w:ilvl="0">
      <w:lvlJc w:val="left"/>
      <w:lvlText w:val="(%1)"/>
      <w:numFmt w:val="lowerLetter"/>
      <w:start w:val="22"/>
    </w:lvl>
  </w:abstractNum>
  <w:abstractNum w:abstractNumId="9">
    <w:nsid w:val="75A2A8D4"/>
    <w:multiLevelType w:val="hybridMultilevel"/>
    <w:lvl w:ilvl="0">
      <w:lvlJc w:val="left"/>
      <w:lvlText w:val="(%1)"/>
      <w:numFmt w:val="lowerLetter"/>
      <w:start w:val="25"/>
    </w:lvl>
  </w:abstractNum>
  <w:abstractNum w:abstractNumId="10">
    <w:nsid w:val="8EDBDAB"/>
    <w:multiLevelType w:val="hybridMultilevel"/>
    <w:lvl w:ilvl="0">
      <w:lvlJc w:val="left"/>
      <w:lvlText w:val="(%1)"/>
      <w:numFmt w:val="lowerLetter"/>
      <w:start w:val="27"/>
    </w:lvl>
  </w:abstractNum>
  <w:abstractNum w:abstractNumId="11">
    <w:nsid w:val="79838CB2"/>
    <w:multiLevelType w:val="hybridMultilevel"/>
    <w:lvl w:ilvl="0">
      <w:lvlJc w:val="left"/>
      <w:lvlText w:val="(%1)"/>
      <w:numFmt w:val="lowerLetter"/>
      <w:start w:val="30"/>
    </w:lvl>
  </w:abstractNum>
  <w:abstractNum w:abstractNumId="12">
    <w:nsid w:val="4353D0CD"/>
    <w:multiLevelType w:val="hybridMultilevel"/>
    <w:lvl w:ilvl="0">
      <w:lvlJc w:val="left"/>
      <w:lvlText w:val="%1"/>
      <w:numFmt w:val="decimal"/>
      <w:start w:val="1"/>
    </w:lvl>
    <w:lvl w:ilvl="1">
      <w:lvlJc w:val="left"/>
      <w:lvlText w:val="(%2)"/>
      <w:numFmt w:val="lowerLetter"/>
      <w:start w:val="40"/>
    </w:lvl>
  </w:abstractNum>
  <w:abstractNum w:abstractNumId="13">
    <w:nsid w:val="B03E0C6"/>
    <w:multiLevelType w:val="hybridMultilevel"/>
    <w:lvl w:ilvl="0">
      <w:lvlJc w:val="left"/>
      <w:lvlText w:val="%1."/>
      <w:numFmt w:val="decimal"/>
      <w:start w:val="3"/>
    </w:lvl>
    <w:lvl w:ilvl="1">
      <w:lvlJc w:val="left"/>
      <w:lvlText w:val="%2"/>
      <w:numFmt w:val="lowerLetter"/>
      <w:start w:val="1"/>
    </w:lvl>
  </w:abstractNum>
  <w:abstractNum w:abstractNumId="14">
    <w:nsid w:val="189A769B"/>
    <w:multiLevelType w:val="hybridMultilevel"/>
    <w:lvl w:ilvl="0">
      <w:lvlJc w:val="left"/>
      <w:lvlText w:val="%1."/>
      <w:numFmt w:val="decimal"/>
      <w:start w:val="4"/>
    </w:lvl>
    <w:lvl w:ilvl="1">
      <w:lvlJc w:val="left"/>
      <w:lvlText w:val="(%2)"/>
      <w:numFmt w:val="lowerRoman"/>
      <w:start w:val="2"/>
    </w:lvl>
  </w:abstractNum>
  <w:abstractNum w:abstractNumId="15">
    <w:nsid w:val="54E49EB4"/>
    <w:multiLevelType w:val="hybridMultilevel"/>
    <w:lvl w:ilvl="0">
      <w:lvlJc w:val="left"/>
      <w:lvlText w:val="(%1)"/>
      <w:numFmt w:val="lowerLetter"/>
      <w:start w:val="2"/>
    </w:lvl>
  </w:abstractNum>
  <w:abstractNum w:abstractNumId="16">
    <w:nsid w:val="71F32454"/>
    <w:multiLevelType w:val="hybridMultilevel"/>
    <w:lvl w:ilvl="0">
      <w:lvlJc w:val="left"/>
      <w:lvlText w:val="(%1)"/>
      <w:numFmt w:val="lowerRoman"/>
      <w:start w:val="2"/>
    </w:lvl>
  </w:abstractNum>
  <w:abstractNum w:abstractNumId="17">
    <w:nsid w:val="2CA88611"/>
    <w:multiLevelType w:val="hybridMultilevel"/>
    <w:lvl w:ilvl="0">
      <w:lvlJc w:val="left"/>
      <w:lvlText w:val="%1"/>
      <w:numFmt w:val="upperLetter"/>
      <w:start w:val="1"/>
    </w:lvl>
    <w:lvl w:ilvl="1">
      <w:lvlJc w:val="left"/>
      <w:lvlText w:val="(%2)"/>
      <w:numFmt w:val="lowerRoman"/>
      <w:start w:val="12"/>
    </w:lvl>
  </w:abstractNum>
  <w:abstractNum w:abstractNumId="18">
    <w:nsid w:val="836C40E"/>
    <w:multiLevelType w:val="hybridMultilevel"/>
    <w:lvl w:ilvl="0">
      <w:lvlJc w:val="left"/>
      <w:lvlText w:val="(%1)"/>
      <w:numFmt w:val="upperLetter"/>
      <w:start w:val="2"/>
    </w:lvl>
    <w:lvl w:ilvl="1">
      <w:lvlJc w:val="left"/>
      <w:lvlText w:val="%2"/>
      <w:numFmt w:val="lowerRoman"/>
      <w:start w:val="1"/>
    </w:lvl>
  </w:abstractNum>
  <w:abstractNum w:abstractNumId="19">
    <w:nsid w:val="2901D82"/>
    <w:multiLevelType w:val="hybridMultilevel"/>
    <w:lvl w:ilvl="0">
      <w:lvlJc w:val="left"/>
      <w:lvlText w:val="%1."/>
      <w:numFmt w:val="decimal"/>
      <w:start w:val="5"/>
    </w:lvl>
  </w:abstractNum>
  <w:abstractNum w:abstractNumId="20">
    <w:nsid w:val="3A95F874"/>
    <w:multiLevelType w:val="hybridMultilevel"/>
    <w:lvl w:ilvl="0">
      <w:lvlJc w:val="left"/>
      <w:lvlText w:val="%1"/>
      <w:numFmt w:val="decimal"/>
      <w:start w:val="1"/>
    </w:lvl>
    <w:lvl w:ilvl="1">
      <w:lvlJc w:val="left"/>
      <w:lvlText w:val="(%2)"/>
      <w:numFmt w:val="lowerLetter"/>
      <w:start w:val="3"/>
    </w:lvl>
  </w:abstractNum>
  <w:abstractNum w:abstractNumId="21">
    <w:nsid w:val="8138641"/>
    <w:multiLevelType w:val="hybridMultilevel"/>
    <w:lvl w:ilvl="0">
      <w:lvlJc w:val="left"/>
      <w:lvlText w:val="%1."/>
      <w:numFmt w:val="decimal"/>
      <w:start w:val="7"/>
    </w:lvl>
    <w:lvl w:ilvl="1">
      <w:lvlJc w:val="left"/>
      <w:lvlText w:val="(%2)"/>
      <w:numFmt w:val="lowerLetter"/>
      <w:start w:val="1"/>
    </w:lvl>
  </w:abstractNum>
  <w:abstractNum w:abstractNumId="22">
    <w:nsid w:val="1E7FF521"/>
    <w:multiLevelType w:val="hybridMultilevel"/>
    <w:lvl w:ilvl="0">
      <w:lvlJc w:val="left"/>
      <w:lvlText w:val="(%1)"/>
      <w:numFmt w:val="lowerRoman"/>
      <w:start w:val="2"/>
    </w:lvl>
  </w:abstractNum>
  <w:abstractNum w:abstractNumId="23">
    <w:nsid w:val="7C3DBD3D"/>
    <w:multiLevelType w:val="hybridMultilevel"/>
    <w:lvl w:ilvl="0">
      <w:lvlJc w:val="left"/>
      <w:lvlText w:val="(%1)"/>
      <w:numFmt w:val="lowerLetter"/>
      <w:start w:val="1"/>
    </w:lvl>
  </w:abstractNum>
  <w:abstractNum w:abstractNumId="24">
    <w:nsid w:val="737B8DDC"/>
    <w:multiLevelType w:val="hybridMultilevel"/>
    <w:lvl w:ilvl="0">
      <w:lvlJc w:val="left"/>
      <w:lvlText w:val="%1"/>
      <w:numFmt w:val="decimal"/>
      <w:start w:val="1"/>
    </w:lvl>
    <w:lvl w:ilvl="1">
      <w:lvlJc w:val="left"/>
      <w:lvlText w:val="(%2)"/>
      <w:numFmt w:val="lowerLetter"/>
      <w:start w:val="8"/>
    </w:lvl>
  </w:abstractNum>
  <w:abstractNum w:abstractNumId="25">
    <w:nsid w:val="6CEAF087"/>
    <w:multiLevelType w:val="hybridMultilevel"/>
    <w:lvl w:ilvl="0">
      <w:lvlJc w:val="left"/>
      <w:lvlText w:val="%1."/>
      <w:numFmt w:val="decimal"/>
      <w:start w:val="9"/>
    </w:lvl>
    <w:lvl w:ilvl="1">
      <w:lvlJc w:val="left"/>
      <w:lvlText w:val="(%2)"/>
      <w:numFmt w:val="lowerLetter"/>
      <w:start w:val="1"/>
    </w:lvl>
  </w:abstractNum>
  <w:abstractNum w:abstractNumId="26">
    <w:nsid w:val="22221A70"/>
    <w:multiLevelType w:val="hybridMultilevel"/>
    <w:lvl w:ilvl="0">
      <w:lvlJc w:val="left"/>
      <w:lvlText w:val="%1."/>
      <w:numFmt w:val="decimal"/>
      <w:start w:val="10"/>
    </w:lvl>
    <w:lvl w:ilvl="1">
      <w:lvlJc w:val="left"/>
      <w:lvlText w:val="(%2)"/>
      <w:numFmt w:val="lowerLetter"/>
      <w:start w:val="1"/>
    </w:lvl>
  </w:abstractNum>
  <w:abstractNum w:abstractNumId="27">
    <w:nsid w:val="4516DDE9"/>
    <w:multiLevelType w:val="hybridMultilevel"/>
    <w:lvl w:ilvl="0">
      <w:lvlJc w:val="left"/>
      <w:lvlText w:val="%1."/>
      <w:numFmt w:val="decimal"/>
      <w:start w:val="11"/>
    </w:lvl>
  </w:abstractNum>
  <w:abstractNum w:abstractNumId="28">
    <w:nsid w:val="3006C83E"/>
    <w:multiLevelType w:val="hybridMultilevel"/>
    <w:lvl w:ilvl="0">
      <w:lvlJc w:val="left"/>
      <w:lvlText w:val="(%1)"/>
      <w:numFmt w:val="lowerLetter"/>
      <w:start w:val="2"/>
    </w:lvl>
  </w:abstractNum>
  <w:abstractNum w:abstractNumId="29">
    <w:nsid w:val="614FD4A1"/>
    <w:multiLevelType w:val="hybridMultilevel"/>
    <w:lvl w:ilvl="0">
      <w:lvlJc w:val="left"/>
      <w:lvlText w:val="(%1)"/>
      <w:numFmt w:val="lowerLetter"/>
      <w:start w:val="4"/>
    </w:lvl>
  </w:abstractNum>
  <w:abstractNum w:abstractNumId="30">
    <w:nsid w:val="419AC241"/>
    <w:multiLevelType w:val="hybridMultilevel"/>
    <w:lvl w:ilvl="0">
      <w:lvlJc w:val="left"/>
      <w:lvlText w:val="%1."/>
      <w:numFmt w:val="decimal"/>
      <w:start w:val="12"/>
    </w:lvl>
  </w:abstractNum>
  <w:abstractNum w:abstractNumId="31">
    <w:nsid w:val="5577F8E1"/>
    <w:multiLevelType w:val="hybridMultilevel"/>
    <w:lvl w:ilvl="0">
      <w:lvlJc w:val="left"/>
      <w:lvlText w:val="(%1)"/>
      <w:numFmt w:val="lowerLetter"/>
      <w:start w:val="2"/>
    </w:lvl>
  </w:abstractNum>
  <w:abstractNum w:abstractNumId="32">
    <w:nsid w:val="440BADFC"/>
    <w:multiLevelType w:val="hybridMultilevel"/>
    <w:lvl w:ilvl="0">
      <w:lvlJc w:val="left"/>
      <w:lvlText w:val="%1."/>
      <w:numFmt w:val="decimal"/>
      <w:start w:val="15"/>
    </w:lvl>
  </w:abstractNum>
  <w:abstractNum w:abstractNumId="33">
    <w:nsid w:val="5072367"/>
    <w:multiLevelType w:val="hybridMultilevel"/>
    <w:lvl w:ilvl="0">
      <w:lvlJc w:val="left"/>
      <w:lvlText w:val="(%1)"/>
      <w:numFmt w:val="lowerLetter"/>
      <w:start w:val="2"/>
    </w:lvl>
  </w:abstractNum>
  <w:abstractNum w:abstractNumId="34">
    <w:nsid w:val="3804823E"/>
    <w:multiLevelType w:val="hybridMultilevel"/>
    <w:lvl w:ilvl="0">
      <w:lvlJc w:val="left"/>
      <w:lvlText w:val="%1."/>
      <w:numFmt w:val="decimal"/>
      <w:start w:val="16"/>
    </w:lvl>
  </w:abstractNum>
  <w:abstractNum w:abstractNumId="35">
    <w:nsid w:val="77465F01"/>
    <w:multiLevelType w:val="hybridMultilevel"/>
    <w:lvl w:ilvl="0">
      <w:lvlJc w:val="left"/>
      <w:lvlText w:val="%1."/>
      <w:numFmt w:val="decimal"/>
      <w:start w:val="20"/>
    </w:lvl>
  </w:abstractNum>
  <w:abstractNum w:abstractNumId="36">
    <w:nsid w:val="7724C67E"/>
    <w:multiLevelType w:val="hybridMultilevel"/>
    <w:lvl w:ilvl="0">
      <w:lvlJc w:val="left"/>
      <w:lvlText w:val="(%1)"/>
      <w:numFmt w:val="lowerLetter"/>
      <w:start w:val="2"/>
    </w:lvl>
  </w:abstractNum>
  <w:abstractNum w:abstractNumId="37">
    <w:nsid w:val="5C482A97"/>
    <w:multiLevelType w:val="hybridMultilevel"/>
    <w:lvl w:ilvl="0">
      <w:lvlJc w:val="left"/>
      <w:lvlText w:val="%1."/>
      <w:numFmt w:val="decimal"/>
      <w:start w:val="2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2026-06-16T15:04:00Z</dcterms:created>
  <dcterms:modified xsi:type="dcterms:W3CDTF">2026-06-16T15:04:00Z</dcterms:modified>
</cp:coreProperties>
</file>