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6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52" w:lineRule="exact"/>
        <w:rPr>
          <w:sz w:val="24"/>
          <w:szCs w:val="24"/>
          <w:color w:val="auto"/>
        </w:rPr>
      </w:pPr>
    </w:p>
    <w:p>
      <w:pPr>
        <w:ind w:left="1140" w:hanging="646"/>
        <w:spacing w:after="0"/>
        <w:tabs>
          <w:tab w:leader="none" w:pos="11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quarterly period ended March 31, 2017</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30" w:lineRule="exact"/>
        <w:rPr>
          <w:sz w:val="24"/>
          <w:szCs w:val="24"/>
          <w:color w:val="auto"/>
        </w:rPr>
      </w:pPr>
    </w:p>
    <w:p>
      <w:pPr>
        <w:ind w:left="1140" w:hanging="646"/>
        <w:spacing w:after="0"/>
        <w:tabs>
          <w:tab w:leader="none" w:pos="11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52" w:lineRule="exact"/>
        <w:rPr>
          <w:rFonts w:ascii="MS PGothic" w:cs="MS PGothic" w:eastAsia="MS PGothic" w:hAnsi="MS PGothic"/>
          <w:sz w:val="18"/>
          <w:szCs w:val="18"/>
          <w:color w:val="auto"/>
        </w:rPr>
      </w:pPr>
    </w:p>
    <w:p>
      <w:pPr>
        <w:ind w:left="43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Commission file number: 001-33852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3152140</wp:posOffset>
            </wp:positionH>
            <wp:positionV relativeFrom="paragraph">
              <wp:posOffset>174625</wp:posOffset>
            </wp:positionV>
            <wp:extent cx="960755" cy="488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60755" cy="4889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VirnetX Holding Corporation</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28" w:lineRule="exact"/>
        <w:rPr>
          <w:sz w:val="24"/>
          <w:szCs w:val="24"/>
          <w:color w:val="auto"/>
        </w:rPr>
      </w:pPr>
    </w:p>
    <w:tbl>
      <w:tblPr>
        <w:tblLayout w:type="fixed"/>
        <w:tblInd w:w="500" w:type="dxa"/>
        <w:tblCellMar>
          <w:top w:w="0" w:type="dxa"/>
          <w:left w:w="0" w:type="dxa"/>
          <w:bottom w:w="0" w:type="dxa"/>
          <w:right w:w="0" w:type="dxa"/>
        </w:tblCellMar>
      </w:tblPr>
      <w:tr>
        <w:trPr>
          <w:trHeight w:val="216"/>
        </w:trPr>
        <w:tc>
          <w:tcPr>
            <w:tcW w:w="5620" w:type="dxa"/>
            <w:vAlign w:val="bottom"/>
          </w:tcPr>
          <w:p>
            <w:pPr>
              <w:jc w:val="center"/>
              <w:ind w:right="8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080" w:type="dxa"/>
            <w:vAlign w:val="bottom"/>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77-0390628</w:t>
            </w:r>
          </w:p>
        </w:tc>
      </w:tr>
      <w:tr>
        <w:trPr>
          <w:trHeight w:val="238"/>
        </w:trPr>
        <w:tc>
          <w:tcPr>
            <w:tcW w:w="5620" w:type="dxa"/>
            <w:vAlign w:val="bottom"/>
          </w:tcPr>
          <w:p>
            <w:pPr>
              <w:jc w:val="center"/>
              <w:ind w:right="89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 incorporation or organization)</w:t>
            </w:r>
          </w:p>
        </w:tc>
        <w:tc>
          <w:tcPr>
            <w:tcW w:w="4080" w:type="dxa"/>
            <w:vAlign w:val="bottom"/>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9"/>
              </w:rPr>
              <w:t>(I.R.S. Employer Identification Number)</w:t>
            </w:r>
          </w:p>
        </w:tc>
      </w:tr>
      <w:tr>
        <w:trPr>
          <w:trHeight w:val="437"/>
        </w:trPr>
        <w:tc>
          <w:tcPr>
            <w:tcW w:w="5620" w:type="dxa"/>
            <w:vAlign w:val="bottom"/>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rPr>
              <w:t>308 Dorla Court, Suite 206 Zephyr Cove, Nevada</w:t>
            </w:r>
          </w:p>
        </w:tc>
        <w:tc>
          <w:tcPr>
            <w:tcW w:w="4080" w:type="dxa"/>
            <w:vAlign w:val="bottom"/>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89448</w:t>
            </w:r>
          </w:p>
        </w:tc>
      </w:tr>
      <w:tr>
        <w:trPr>
          <w:trHeight w:val="238"/>
        </w:trPr>
        <w:tc>
          <w:tcPr>
            <w:tcW w:w="5620" w:type="dxa"/>
            <w:vAlign w:val="bottom"/>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4080" w:type="dxa"/>
            <w:vAlign w:val="bottom"/>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(775) 548-1785</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former address and former fiscal year, if changed since last report:</w:t>
      </w:r>
    </w:p>
    <w:p>
      <w:pPr>
        <w:spacing w:after="0" w:line="256" w:lineRule="exact"/>
        <w:rPr>
          <w:sz w:val="24"/>
          <w:szCs w:val="24"/>
          <w:color w:val="auto"/>
        </w:rPr>
      </w:pPr>
    </w:p>
    <w:p>
      <w:pPr>
        <w:jc w:val="both"/>
        <w:ind w:firstLine="911"/>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920"/>
        <w:spacing w:after="0" w:line="207" w:lineRule="exact"/>
        <w:rPr>
          <w:sz w:val="20"/>
          <w:szCs w:val="20"/>
          <w:color w:val="auto"/>
        </w:rPr>
      </w:pPr>
      <w:r>
        <w:rPr>
          <w:rFonts w:ascii="Times New Roman" w:cs="Times New Roman" w:eastAsia="Times New Roman" w:hAnsi="Times New Roman"/>
          <w:sz w:val="18"/>
          <w:szCs w:val="18"/>
          <w:color w:val="auto"/>
        </w:rPr>
        <w:t>Yes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39" w:lineRule="exact"/>
        <w:rPr>
          <w:sz w:val="24"/>
          <w:szCs w:val="24"/>
          <w:color w:val="auto"/>
        </w:rPr>
      </w:pPr>
    </w:p>
    <w:p>
      <w:pPr>
        <w:jc w:val="both"/>
        <w:ind w:firstLine="911"/>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2" w:lineRule="exact"/>
        <w:rPr>
          <w:sz w:val="24"/>
          <w:szCs w:val="24"/>
          <w:color w:val="auto"/>
        </w:rPr>
      </w:pPr>
    </w:p>
    <w:p>
      <w:pPr>
        <w:ind w:left="92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239" w:lineRule="exact"/>
        <w:rPr>
          <w:sz w:val="24"/>
          <w:szCs w:val="24"/>
          <w:color w:val="auto"/>
        </w:rPr>
      </w:pPr>
    </w:p>
    <w:p>
      <w:pPr>
        <w:jc w:val="both"/>
        <w:ind w:firstLine="911"/>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529" w:right="239" w:bottom="1440" w:gutter="0" w:footer="0" w:header="0"/>
        </w:sectPr>
      </w:pPr>
    </w:p>
    <w:p>
      <w:pPr>
        <w:spacing w:after="0" w:line="174" w:lineRule="exact"/>
        <w:rPr>
          <w:sz w:val="24"/>
          <w:szCs w:val="24"/>
          <w:color w:val="auto"/>
        </w:rPr>
      </w:pPr>
    </w:p>
    <w:p>
      <w:pPr>
        <w:ind w:left="580"/>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ind w:left="580"/>
        <w:spacing w:after="0" w:line="207" w:lineRule="exact"/>
        <w:tabs>
          <w:tab w:leader="none" w:pos="2620" w:val="left"/>
        </w:tabs>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(Do not check if a smaller reporting company)</w:t>
      </w:r>
    </w:p>
    <w:p>
      <w:pPr>
        <w:spacing w:after="0" w:line="9" w:lineRule="exact"/>
        <w:rPr>
          <w:sz w:val="24"/>
          <w:szCs w:val="24"/>
          <w:color w:val="auto"/>
        </w:rPr>
      </w:pPr>
    </w:p>
    <w:p>
      <w:pPr>
        <w:ind w:left="5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427" w:lineRule="exact"/>
        <w:rPr>
          <w:sz w:val="24"/>
          <w:szCs w:val="24"/>
          <w:color w:val="auto"/>
        </w:rPr>
      </w:pPr>
    </w:p>
    <w:p>
      <w:pPr>
        <w:sectPr>
          <w:pgSz w:w="11900" w:h="16838" w:orient="portrait"/>
          <w:cols w:equalWidth="0" w:num="2">
            <w:col w:w="5980" w:space="300"/>
            <w:col w:w="5140"/>
          </w:cols>
          <w:pgMar w:left="240" w:top="529" w:right="239" w:bottom="1440" w:gutter="0" w:footer="0" w:header="0"/>
          <w:type w:val="continuous"/>
        </w:sectPr>
      </w:pPr>
    </w:p>
    <w:p>
      <w:pPr>
        <w:spacing w:after="0" w:line="32" w:lineRule="exact"/>
        <w:rPr>
          <w:sz w:val="24"/>
          <w:szCs w:val="24"/>
          <w:color w:val="auto"/>
        </w:rPr>
      </w:pPr>
    </w:p>
    <w:p>
      <w:pPr>
        <w:ind w:firstLine="907"/>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6"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8"/>
          <w:szCs w:val="18"/>
          <w:color w:val="auto"/>
        </w:rPr>
        <w:t>The number of shares outstanding of the Registrant’s Common Stock as of May 5, 2017, was 58,144,888.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29"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996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auto"/>
              </w:rPr>
              <w:t>VIRNETX HOLDING CORPORATION</w:t>
            </w: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140" w:type="dxa"/>
            <w:vAlign w:val="bottom"/>
            <w:gridSpan w:val="6"/>
          </w:tcPr>
          <w:p>
            <w:pPr>
              <w:ind w:left="600"/>
              <w:spacing w:after="0"/>
              <w:rPr>
                <w:sz w:val="20"/>
                <w:szCs w:val="20"/>
                <w:color w:val="auto"/>
              </w:rPr>
            </w:pPr>
            <w:r>
              <w:rPr>
                <w:rFonts w:ascii="Times New Roman" w:cs="Times New Roman" w:eastAsia="Times New Roman" w:hAnsi="Times New Roman"/>
                <w:sz w:val="18"/>
                <w:szCs w:val="18"/>
                <w:b w:val="1"/>
                <w:bCs w:val="1"/>
                <w:color w:val="auto"/>
              </w:rPr>
              <w:t>INDEX</w:t>
            </w: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80" w:type="dxa"/>
            <w:vAlign w:val="bottom"/>
            <w:gridSpan w:val="3"/>
          </w:tcPr>
          <w:p>
            <w:pPr>
              <w:ind w:left="110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060" w:type="dxa"/>
            <w:vAlign w:val="bottom"/>
            <w:tcBorders>
              <w:bottom w:val="single" w:sz="8" w:color="0000EE"/>
            </w:tcBorders>
            <w:gridSpan w:val="9"/>
            <w:shd w:val="clear" w:color="auto" w:fill="CCEEFF"/>
          </w:tcPr>
          <w:p>
            <w:pPr>
              <w:spacing w:after="0" w:line="176" w:lineRule="exact"/>
              <w:rPr>
                <w:rFonts w:ascii="Times New Roman" w:cs="Times New Roman" w:eastAsia="Times New Roman" w:hAnsi="Times New Roman"/>
                <w:sz w:val="18"/>
                <w:szCs w:val="18"/>
                <w:color w:val="0000EE"/>
                <w:w w:val="97"/>
              </w:rPr>
            </w:pPr>
            <w:hyperlink w:anchor="page3">
              <w:r>
                <w:rPr>
                  <w:rFonts w:ascii="Times New Roman" w:cs="Times New Roman" w:eastAsia="Times New Roman" w:hAnsi="Times New Roman"/>
                  <w:sz w:val="18"/>
                  <w:szCs w:val="18"/>
                  <w:color w:val="0000EE"/>
                  <w:w w:val="97"/>
                </w:rPr>
                <w:t>PART I — FINANCIAL INFORMATION</w:t>
              </w:r>
            </w:hyperlink>
          </w:p>
        </w:tc>
        <w:tc>
          <w:tcPr>
            <w:tcW w:w="6880" w:type="dxa"/>
            <w:vAlign w:val="bottom"/>
            <w:tcBorders>
              <w:bottom w:val="single" w:sz="8" w:color="CCEEFF"/>
            </w:tcBorders>
            <w:gridSpan w:val="8"/>
            <w:shd w:val="clear" w:color="auto" w:fill="CCEEFF"/>
          </w:tcPr>
          <w:p>
            <w:pPr>
              <w:spacing w:after="0"/>
              <w:rPr>
                <w:sz w:val="17"/>
                <w:szCs w:val="17"/>
                <w:color w:val="auto"/>
              </w:rPr>
            </w:pPr>
          </w:p>
        </w:tc>
        <w:tc>
          <w:tcPr>
            <w:tcW w:w="146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140" w:type="dxa"/>
            <w:vAlign w:val="bottom"/>
            <w:gridSpan w:val="16"/>
          </w:tcPr>
          <w:p>
            <w:pPr>
              <w:spacing w:after="0" w:line="17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Item 1 —Financial Statements.</w:t>
              </w:r>
            </w:hyperlink>
          </w:p>
        </w:tc>
        <w:tc>
          <w:tcPr>
            <w:tcW w:w="146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140" w:type="dxa"/>
            <w:vAlign w:val="bottom"/>
            <w:gridSpan w:val="16"/>
          </w:tcPr>
          <w:p>
            <w:pPr>
              <w:spacing w:after="0" w:line="17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Balance Sheets at March 31, 2017 (unaudited) and December 31, 2016</w:t>
              </w:r>
            </w:hyperlink>
          </w:p>
        </w:tc>
        <w:tc>
          <w:tcPr>
            <w:tcW w:w="146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54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19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9140" w:type="dxa"/>
            <w:vAlign w:val="bottom"/>
            <w:gridSpan w:val="16"/>
            <w:shd w:val="clear" w:color="auto" w:fill="CCEEFF"/>
          </w:tcPr>
          <w:p>
            <w:pPr>
              <w:spacing w:after="0" w:line="17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Statements of Operations for the three months ended March 31, 2017 and 2016 (unaudited)</w:t>
              </w:r>
            </w:hyperlink>
          </w:p>
        </w:tc>
        <w:tc>
          <w:tcPr>
            <w:tcW w:w="146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54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19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140" w:type="dxa"/>
            <w:vAlign w:val="bottom"/>
            <w:tcBorders>
              <w:bottom w:val="single" w:sz="8" w:color="0000EE"/>
            </w:tcBorders>
            <w:gridSpan w:val="16"/>
          </w:tcPr>
          <w:p>
            <w:pPr>
              <w:spacing w:after="0" w:line="176"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Statements of Comprehensive Loss for the three months ended March 31, 2017 and 2016 (unaudited)</w:t>
              </w:r>
            </w:hyperlink>
          </w:p>
        </w:tc>
        <w:tc>
          <w:tcPr>
            <w:tcW w:w="146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140" w:type="dxa"/>
            <w:vAlign w:val="bottom"/>
            <w:gridSpan w:val="16"/>
            <w:shd w:val="clear" w:color="auto" w:fill="CCEEFF"/>
          </w:tcPr>
          <w:p>
            <w:pPr>
              <w:spacing w:after="0" w:line="17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Cash Flows for the three months ended March 31, 2017 and 2016 (unaudited)</w:t>
              </w:r>
            </w:hyperlink>
          </w:p>
        </w:tc>
        <w:tc>
          <w:tcPr>
            <w:tcW w:w="146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0" w:type="dxa"/>
            <w:vAlign w:val="bottom"/>
            <w:tcBorders>
              <w:top w:val="single" w:sz="8" w:color="CCEEFF"/>
            </w:tcBorders>
          </w:tcPr>
          <w:p>
            <w:pPr>
              <w:spacing w:after="0"/>
              <w:rPr>
                <w:sz w:val="15"/>
                <w:szCs w:val="15"/>
                <w:color w:val="auto"/>
              </w:rPr>
            </w:pPr>
          </w:p>
        </w:tc>
        <w:tc>
          <w:tcPr>
            <w:tcW w:w="8460" w:type="dxa"/>
            <w:vAlign w:val="bottom"/>
            <w:tcBorders>
              <w:top w:val="single" w:sz="8" w:color="0000EE"/>
            </w:tcBorders>
            <w:gridSpan w:val="15"/>
          </w:tcPr>
          <w:p>
            <w:pPr>
              <w:spacing w:after="0" w:line="17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Notes to Condensed Consolidated Financial Statements</w:t>
              </w:r>
            </w:hyperlink>
          </w:p>
        </w:tc>
        <w:tc>
          <w:tcPr>
            <w:tcW w:w="680" w:type="dxa"/>
            <w:vAlign w:val="bottom"/>
            <w:tcBorders>
              <w:top w:val="single" w:sz="8" w:color="CCEEFF"/>
            </w:tcBorders>
          </w:tcPr>
          <w:p>
            <w:pPr>
              <w:spacing w:after="0"/>
              <w:rPr>
                <w:sz w:val="15"/>
                <w:szCs w:val="15"/>
                <w:color w:val="auto"/>
              </w:rPr>
            </w:pPr>
          </w:p>
        </w:tc>
        <w:tc>
          <w:tcPr>
            <w:tcW w:w="1460" w:type="dxa"/>
            <w:vAlign w:val="bottom"/>
            <w:tcBorders>
              <w:top w:val="single" w:sz="8" w:color="CCEEFF"/>
            </w:tcBorders>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540" w:type="dxa"/>
            <w:vAlign w:val="bottom"/>
            <w:tcBorders>
              <w:top w:val="single" w:sz="8" w:color="0000EE"/>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140" w:type="dxa"/>
            <w:vAlign w:val="bottom"/>
            <w:gridSpan w:val="16"/>
            <w:shd w:val="clear" w:color="auto" w:fill="CCEEFF"/>
          </w:tcPr>
          <w:p>
            <w:pPr>
              <w:spacing w:after="0" w:line="176" w:lineRule="exact"/>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Item 2 —Management’s Discussion and Analysis of Financial Condition and Results of Operations</w:t>
              </w:r>
            </w:hyperlink>
          </w:p>
        </w:tc>
        <w:tc>
          <w:tcPr>
            <w:tcW w:w="146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140" w:type="dxa"/>
            <w:vAlign w:val="bottom"/>
            <w:gridSpan w:val="16"/>
            <w:shd w:val="clear" w:color="auto" w:fill="CCEEFF"/>
          </w:tcPr>
          <w:p>
            <w:pPr>
              <w:spacing w:after="0" w:line="176" w:lineRule="exact"/>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Item 3 —Quantitative and Qualitative Disclosures About Market Risk</w:t>
              </w:r>
            </w:hyperlink>
          </w:p>
        </w:tc>
        <w:tc>
          <w:tcPr>
            <w:tcW w:w="146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140" w:type="dxa"/>
            <w:vAlign w:val="bottom"/>
            <w:gridSpan w:val="16"/>
            <w:shd w:val="clear" w:color="auto" w:fill="CCEEFF"/>
          </w:tcPr>
          <w:p>
            <w:pPr>
              <w:spacing w:after="0" w:line="176" w:lineRule="exact"/>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Item 4 —Controls and Procedures</w:t>
              </w:r>
            </w:hyperlink>
          </w:p>
        </w:tc>
        <w:tc>
          <w:tcPr>
            <w:tcW w:w="146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700" w:type="dxa"/>
            <w:vAlign w:val="bottom"/>
            <w:tcBorders>
              <w:bottom w:val="single" w:sz="8" w:color="0000EE"/>
            </w:tcBorders>
            <w:gridSpan w:val="5"/>
            <w:shd w:val="clear" w:color="auto" w:fill="CCEEFF"/>
          </w:tcPr>
          <w:p>
            <w:pPr>
              <w:spacing w:after="0" w:line="176" w:lineRule="exact"/>
              <w:rPr>
                <w:rFonts w:ascii="Times New Roman" w:cs="Times New Roman" w:eastAsia="Times New Roman" w:hAnsi="Times New Roman"/>
                <w:sz w:val="18"/>
                <w:szCs w:val="18"/>
                <w:color w:val="0000EE"/>
                <w:w w:val="97"/>
              </w:rPr>
            </w:pPr>
            <w:hyperlink w:anchor="page21">
              <w:r>
                <w:rPr>
                  <w:rFonts w:ascii="Times New Roman" w:cs="Times New Roman" w:eastAsia="Times New Roman" w:hAnsi="Times New Roman"/>
                  <w:sz w:val="18"/>
                  <w:szCs w:val="18"/>
                  <w:color w:val="0000EE"/>
                  <w:w w:val="97"/>
                </w:rPr>
                <w:t>PART II —OTHER INFORMATION</w:t>
              </w:r>
            </w:hyperlink>
          </w:p>
        </w:tc>
        <w:tc>
          <w:tcPr>
            <w:tcW w:w="7240" w:type="dxa"/>
            <w:vAlign w:val="bottom"/>
            <w:tcBorders>
              <w:bottom w:val="single" w:sz="8" w:color="CCEEFF"/>
            </w:tcBorders>
            <w:gridSpan w:val="12"/>
            <w:shd w:val="clear" w:color="auto" w:fill="CCEEFF"/>
          </w:tcPr>
          <w:p>
            <w:pPr>
              <w:spacing w:after="0"/>
              <w:rPr>
                <w:sz w:val="17"/>
                <w:szCs w:val="17"/>
                <w:color w:val="auto"/>
              </w:rPr>
            </w:pPr>
          </w:p>
        </w:tc>
        <w:tc>
          <w:tcPr>
            <w:tcW w:w="146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140" w:type="dxa"/>
            <w:vAlign w:val="bottom"/>
            <w:gridSpan w:val="16"/>
          </w:tcPr>
          <w:p>
            <w:pPr>
              <w:spacing w:after="0" w:line="176" w:lineRule="exact"/>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Item 1 —Legal Proceedings</w:t>
              </w:r>
            </w:hyperlink>
          </w:p>
        </w:tc>
        <w:tc>
          <w:tcPr>
            <w:tcW w:w="146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140" w:type="dxa"/>
            <w:vAlign w:val="bottom"/>
            <w:gridSpan w:val="16"/>
          </w:tcPr>
          <w:p>
            <w:pPr>
              <w:spacing w:after="0" w:line="176" w:lineRule="exact"/>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Item 1A —Risk Factors</w:t>
              </w:r>
            </w:hyperlink>
          </w:p>
        </w:tc>
        <w:tc>
          <w:tcPr>
            <w:tcW w:w="146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140" w:type="dxa"/>
            <w:vAlign w:val="bottom"/>
            <w:gridSpan w:val="16"/>
          </w:tcPr>
          <w:p>
            <w:pPr>
              <w:spacing w:after="0" w:line="176"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Item 5 —Other Information</w:t>
              </w:r>
            </w:hyperlink>
          </w:p>
        </w:tc>
        <w:tc>
          <w:tcPr>
            <w:tcW w:w="146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30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140" w:type="dxa"/>
            <w:vAlign w:val="bottom"/>
            <w:gridSpan w:val="16"/>
          </w:tcPr>
          <w:p>
            <w:pPr>
              <w:spacing w:after="0" w:line="176"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Item 6 —Exhibit</w:t>
              </w:r>
            </w:hyperlink>
          </w:p>
        </w:tc>
        <w:tc>
          <w:tcPr>
            <w:tcW w:w="146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940" w:type="dxa"/>
            <w:vAlign w:val="bottom"/>
            <w:gridSpan w:val="17"/>
          </w:tcPr>
          <w:p>
            <w:pPr>
              <w:spacing w:after="0" w:line="176"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SIGNATURES</w:t>
              </w:r>
            </w:hyperlink>
          </w:p>
        </w:tc>
        <w:tc>
          <w:tcPr>
            <w:tcW w:w="146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46"/>
        </w:trPr>
        <w:tc>
          <w:tcPr>
            <w:tcW w:w="20" w:type="dxa"/>
            <w:vAlign w:val="bottom"/>
            <w:tcBorders>
              <w:bottom w:val="single" w:sz="8" w:color="auto"/>
            </w:tcBorders>
          </w:tcPr>
          <w:p>
            <w:pPr>
              <w:spacing w:after="0"/>
              <w:rPr>
                <w:sz w:val="24"/>
                <w:szCs w:val="24"/>
                <w:color w:val="auto"/>
              </w:rPr>
            </w:pPr>
          </w:p>
        </w:tc>
        <w:tc>
          <w:tcPr>
            <w:tcW w:w="80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gridSpan w:val="3"/>
          </w:tcPr>
          <w:p>
            <w:pPr>
              <w:spacing w:after="0"/>
              <w:rPr>
                <w:rFonts w:ascii="Times New Roman" w:cs="Times New Roman" w:eastAsia="Times New Roman" w:hAnsi="Times New Roman"/>
                <w:sz w:val="14"/>
                <w:szCs w:val="14"/>
                <w:i w:val="1"/>
                <w:iCs w:val="1"/>
                <w:color w:val="0000EE"/>
              </w:rPr>
            </w:pPr>
            <w:hyperlink w:anchor="page2">
              <w:r>
                <w:rPr>
                  <w:rFonts w:ascii="Times New Roman" w:cs="Times New Roman" w:eastAsia="Times New Roman" w:hAnsi="Times New Roman"/>
                  <w:sz w:val="14"/>
                  <w:szCs w:val="14"/>
                  <w:i w:val="1"/>
                  <w:iCs w:val="1"/>
                  <w:color w:val="0000EE"/>
                </w:rPr>
                <w:t>Index</w:t>
              </w:r>
            </w:hyperlink>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140" w:type="dxa"/>
            <w:vAlign w:val="bottom"/>
          </w:tcPr>
          <w:p>
            <w:pPr>
              <w:jc w:val="center"/>
              <w:ind w:left="2570"/>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140" w:type="dxa"/>
            <w:vAlign w:val="bottom"/>
          </w:tcPr>
          <w:p>
            <w:pPr>
              <w:jc w:val="center"/>
              <w:ind w:left="2550"/>
              <w:spacing w:after="0"/>
              <w:rPr>
                <w:sz w:val="20"/>
                <w:szCs w:val="20"/>
                <w:color w:val="auto"/>
              </w:rPr>
            </w:pPr>
            <w:r>
              <w:rPr>
                <w:rFonts w:ascii="Times New Roman" w:cs="Times New Roman" w:eastAsia="Times New Roman" w:hAnsi="Times New Roman"/>
                <w:sz w:val="18"/>
                <w:szCs w:val="18"/>
                <w:b w:val="1"/>
                <w:bCs w:val="1"/>
                <w:color w:val="auto"/>
                <w:w w:val="99"/>
              </w:rPr>
              <w:t>VIRNETX HOLDING CORPORATION</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140" w:type="dxa"/>
            <w:vAlign w:val="bottom"/>
          </w:tcPr>
          <w:p>
            <w:pPr>
              <w:jc w:val="center"/>
              <w:ind w:left="255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140" w:type="dxa"/>
            <w:vAlign w:val="bottom"/>
          </w:tcPr>
          <w:p>
            <w:pPr>
              <w:jc w:val="center"/>
              <w:ind w:left="257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amounts)</w:t>
            </w: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140" w:type="dxa"/>
            <w:vAlign w:val="bottom"/>
          </w:tcPr>
          <w:p>
            <w:pPr>
              <w:spacing w:after="0"/>
              <w:rPr>
                <w:sz w:val="21"/>
                <w:szCs w:val="21"/>
                <w:color w:val="auto"/>
              </w:rPr>
            </w:pP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March 31, 2017</w:t>
            </w:r>
          </w:p>
        </w:tc>
        <w:tc>
          <w:tcPr>
            <w:tcW w:w="164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2016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140" w:type="dxa"/>
            <w:vAlign w:val="bottom"/>
          </w:tcPr>
          <w:p>
            <w:pPr>
              <w:ind w:left="3520"/>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90"/>
              <w:spacing w:after="0" w:line="198" w:lineRule="exact"/>
              <w:rPr>
                <w:sz w:val="20"/>
                <w:szCs w:val="20"/>
                <w:color w:val="auto"/>
              </w:rPr>
            </w:pPr>
            <w:r>
              <w:rPr>
                <w:rFonts w:ascii="Times New Roman" w:cs="Times New Roman" w:eastAsia="Times New Roman" w:hAnsi="Times New Roman"/>
                <w:sz w:val="18"/>
                <w:szCs w:val="18"/>
                <w:color w:val="auto"/>
              </w:rPr>
              <w:t>(unaudited)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3,609</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Investments available for sale</w:t>
            </w:r>
          </w:p>
        </w:tc>
        <w:tc>
          <w:tcPr>
            <w:tcW w:w="1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6,129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40" w:type="dxa"/>
            <w:vAlign w:val="bottom"/>
          </w:tcPr>
          <w:p>
            <w:pPr>
              <w:spacing w:after="0"/>
              <w:rPr>
                <w:sz w:val="19"/>
                <w:szCs w:val="19"/>
                <w:color w:val="auto"/>
              </w:rPr>
            </w:pP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10,606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non-current</w:t>
            </w: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2,279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12,909</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18,871</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140" w:type="dxa"/>
            <w:vAlign w:val="bottom"/>
            <w:tcBorders>
              <w:top w:val="single" w:sz="8" w:color="CCEEFF"/>
            </w:tcBorders>
          </w:tcPr>
          <w:p>
            <w:pPr>
              <w:ind w:left="190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tcPr>
          <w:p>
            <w:pPr>
              <w:spacing w:after="0"/>
              <w:rPr>
                <w:sz w:val="18"/>
                <w:szCs w:val="18"/>
                <w:color w:val="auto"/>
              </w:rPr>
            </w:pP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Income tax liability</w:t>
            </w:r>
          </w:p>
        </w:tc>
        <w:tc>
          <w:tcPr>
            <w:tcW w:w="1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revenue, current portion</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2,702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revenue, non-current portion</w:t>
            </w:r>
          </w:p>
        </w:tc>
        <w:tc>
          <w:tcPr>
            <w:tcW w:w="14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2,125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4,827</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4)</w:t>
            </w: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440" w:type="dxa"/>
            <w:vAlign w:val="bottom"/>
            <w:gridSpan w:val="2"/>
          </w:tcPr>
          <w:p>
            <w:pPr>
              <w:ind w:left="160"/>
              <w:spacing w:after="0" w:line="198" w:lineRule="exact"/>
              <w:rPr>
                <w:sz w:val="20"/>
                <w:szCs w:val="20"/>
                <w:color w:val="auto"/>
              </w:rPr>
            </w:pPr>
            <w:r>
              <w:rPr>
                <w:rFonts w:ascii="Times New Roman" w:cs="Times New Roman" w:eastAsia="Times New Roman" w:hAnsi="Times New Roman"/>
                <w:sz w:val="18"/>
                <w:szCs w:val="18"/>
                <w:color w:val="auto"/>
              </w:rPr>
              <w:t>Preferred stock, par value $0.0001 per share Authorized: 10,000,000 shares at March 31, 2017 and December 31,</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2016, Issued and outstanding: 0 shares at March 31, 2017 and December 31, 2016</w:t>
            </w:r>
          </w:p>
        </w:tc>
        <w:tc>
          <w:tcPr>
            <w:tcW w:w="140" w:type="dxa"/>
            <w:vAlign w:val="bottom"/>
          </w:tcPr>
          <w:p>
            <w:pPr>
              <w:spacing w:after="0"/>
              <w:rPr>
                <w:sz w:val="20"/>
                <w:szCs w:val="20"/>
                <w:color w:val="auto"/>
              </w:rPr>
            </w:pP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440" w:type="dxa"/>
            <w:vAlign w:val="bottom"/>
            <w:gridSpan w:val="2"/>
          </w:tcPr>
          <w:p>
            <w:pPr>
              <w:ind w:left="160"/>
              <w:spacing w:after="0" w:line="198" w:lineRule="exact"/>
              <w:rPr>
                <w:sz w:val="20"/>
                <w:szCs w:val="20"/>
                <w:color w:val="auto"/>
              </w:rPr>
            </w:pPr>
            <w:r>
              <w:rPr>
                <w:rFonts w:ascii="Times New Roman" w:cs="Times New Roman" w:eastAsia="Times New Roman" w:hAnsi="Times New Roman"/>
                <w:sz w:val="18"/>
                <w:szCs w:val="18"/>
                <w:color w:val="auto"/>
              </w:rPr>
              <w:t>Authorized: 100,000,000 shares at March 31, 2017 and December 31, 2016, Issued and outstanding: 58,144,888</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shares and 58,144,888 shares, at March 31, 2017 and December 31, 2016, respectively</w:t>
            </w:r>
          </w:p>
        </w:tc>
        <w:tc>
          <w:tcPr>
            <w:tcW w:w="14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170,224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Pr>
          <w:p>
            <w:pPr>
              <w:spacing w:after="0"/>
              <w:rPr>
                <w:sz w:val="18"/>
                <w:szCs w:val="18"/>
                <w:color w:val="auto"/>
              </w:rPr>
            </w:pP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(162,131)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(158,238)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81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8,082</w:t>
            </w:r>
          </w:p>
        </w:tc>
        <w:tc>
          <w:tcPr>
            <w:tcW w:w="20" w:type="dxa"/>
            <w:vAlign w:val="bottom"/>
            <w:tcBorders>
              <w:top w:val="single" w:sz="8" w:color="CCEEFF"/>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11,147</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12,909</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 w:name="page4"/>
    <w:bookmarkEnd w:id="3"/>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VIRNETX HOLDING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6"/>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8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tcBorders>
              <w:bottom w:val="single" w:sz="8" w:color="CCEEFF"/>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operating expense</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4,281</w:t>
            </w:r>
          </w:p>
        </w:tc>
        <w:tc>
          <w:tcPr>
            <w:tcW w:w="140" w:type="dxa"/>
            <w:vAlign w:val="bottom"/>
            <w:tcBorders>
              <w:left w:val="single" w:sz="8" w:color="CCEEFF"/>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(3,906)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Borders>
              <w:left w:val="single" w:sz="8" w:color="CCEEFF"/>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Loss before taxes</w:t>
            </w: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(3,889)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(3,894</w:t>
            </w: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(8,610)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20" w:type="dxa"/>
            <w:vAlign w:val="bottom"/>
            <w:tcBorders>
              <w:bottom w:val="single" w:sz="8" w:color="CCEEFF"/>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 and diluted loss per share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40" w:type="dxa"/>
            <w:vAlign w:val="bottom"/>
            <w:tcBorders>
              <w:left w:val="single" w:sz="8" w:color="CCEEFF"/>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Weighted average shares outstanding basic and diluted</w:t>
            </w:r>
          </w:p>
        </w:tc>
        <w:tc>
          <w:tcPr>
            <w:tcW w:w="1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58,145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54,135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20" w:type="dxa"/>
            <w:vAlign w:val="bottom"/>
            <w:vMerge w:val="restart"/>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VIRNETX HOLDING CORPORATION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88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80" w:type="dxa"/>
            <w:vAlign w:val="bottom"/>
            <w:gridSpan w:val="4"/>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COMPREHENSIVE LOSS (Unaudited)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82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8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6"/>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8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(3,894)</w:t>
            </w: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gain (loss), net of tax:</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Change in equity adjustment from foreign currency translation, net of tax</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Change in unrealized gain (loss) on investments, net of tax</w:t>
            </w: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other comprehensive gain (loss) net of tax</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(3,899)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(8,601)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4" w:name="page5"/>
    <w:bookmarkEnd w:id="4"/>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VIRNETX HOLDING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80" w:type="dxa"/>
            <w:vAlign w:val="bottom"/>
          </w:tcPr>
          <w:p>
            <w:pPr>
              <w:spacing w:after="0"/>
              <w:rPr>
                <w:sz w:val="18"/>
                <w:szCs w:val="18"/>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0" w:type="dxa"/>
            <w:vAlign w:val="bottom"/>
          </w:tcPr>
          <w:p>
            <w:pPr>
              <w:spacing w:after="0"/>
              <w:rPr>
                <w:sz w:val="1"/>
                <w:szCs w:val="1"/>
                <w:color w:val="auto"/>
              </w:rPr>
            </w:pPr>
          </w:p>
        </w:tc>
      </w:tr>
      <w:tr>
        <w:trPr>
          <w:trHeight w:val="245"/>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Depreciation</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Amortization of warrant issuance costs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833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(1,155)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(1,372)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Related party payable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tax liability</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(6,134)</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 of investments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sale or maturity of investments</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3,116</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3,116</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exercise of options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sale of common stock</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(3,018)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6,627</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3,609</w:t>
            </w:r>
          </w:p>
        </w:tc>
        <w:tc>
          <w:tcPr>
            <w:tcW w:w="200" w:type="dxa"/>
            <w:vAlign w:val="bottom"/>
            <w:tcBorders>
              <w:bottom w:val="single" w:sz="8" w:color="auto"/>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56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56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5" w:name="page6"/>
    <w:bookmarkEnd w:id="5"/>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jc w:val="center"/>
        <w:spacing w:after="0" w:line="265" w:lineRule="auto"/>
        <w:rPr>
          <w:sz w:val="20"/>
          <w:szCs w:val="20"/>
          <w:color w:val="auto"/>
        </w:rPr>
      </w:pPr>
      <w:r>
        <w:rPr>
          <w:rFonts w:ascii="Times New Roman" w:cs="Times New Roman" w:eastAsia="Times New Roman" w:hAnsi="Times New Roman"/>
          <w:sz w:val="18"/>
          <w:szCs w:val="18"/>
          <w:b w:val="1"/>
          <w:bCs w:val="1"/>
          <w:color w:val="auto"/>
        </w:rPr>
        <w:t>VIRNETX HOLDING CORPORATION NOTES TO CONDENSED CONSOLIDATED FINANCIAL STATEMENTS (in thousands, except share and per share amounts) (Unaudited)</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Business Description and Basis of Presentation</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VirnetX Holding Corporation, which we refer to as “we”, “us”, “our”, “the Company” or “VirnetX”, is engaged in the business of commercializing a portfolio of patents. We seek to license our technology, including GABRIEL Connection Technology™, to various original equipment manufacturers, or OEMs, that use our technologies in the development and manufacturing of their own products within the IP-telephony, mobility, fixed-mobile convergence and unified communications markets. Prior to 2012 our revenue was limited to an insignificant amount of software royalties pursuant to the terms of a single license agreement. Since 2012 we had revenues from settlements of patent infringement disputes whereby we received consideration for past sales of licensees that utilized our technology, where there was no prior patent license agreement, as well as license agreement revenues from settlements providing licensing for the continued use of our technology (see “Revenue Recognition”).</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portfolio of intellectual property is the foundation of our business model. We currently own approximately 49 U.S. and 69 foreign patents with approximately 50 pending patent applications worldwide. Our patent portfolio is primarily focused on securing real-time communications over the Internet, as well as related services such as the establishment and maintenance of a secure domain name registry. Our patented methods also have additional applications in the key areas of device operating systems and network security for Cloud services, Machine-to-Machine (“M2M”), communications in areas including “Smart City,” “Connected Car” and “Connected Home.” All our U.S. and foreign patents and pending patent applications relate generally to securing communications over the internet and as such, cover all our technology and other products. Our issued U.S. and foreign patents expire at various times during the period from 2019 to 2024. Some of our issued patents and pending patent applications were acquired by our principal operating subsidiary, VirnetX, Inc., from Leidos, Inc. (“Leidos”) (f/k/a Science Applications International Corporation, or SAIC) in 2006 and we are required to make payments to Leidos based on cash or certain other values generated from those patents in certain circumstances. The amount of such payments depends upon the type of value generated and certain categories are subject to maximums and other limitations.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Condensed Consolidated Balance Sheet as of March 31, 2017, the Condensed Consolidated Statements of Income for the three months ended March 31, 2017 and 2016, the Condensed Consolidated Statements of Comprehensive Loss for the three months ended March 31, 2017 and 2016, and the Condensed Consolidated Statements of Cash Flows for the three months ended March 31, 2017 and 2016 are unaudited. These unaudited interim consolidated financial statements have been prepared in accordance with generally accepted accounting principles in the United States (“U.S. GAAP”). In our opinion, the unaudited interim consolidated financial statements include all adjustments of a normal recurring nature necessary for the fair presentation of our financial position as of March 31, 2017, our results of operations for the three months ended March 31, 2017 and 2016, and our cash flows for the three months ended March 31, 2017 and 2016. The results of operations for interim periods are not necessarily indicative of the results to be expected for a full year.</w:t>
      </w:r>
    </w:p>
    <w:p>
      <w:pPr>
        <w:spacing w:after="0" w:line="2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unaudited interim consolidated financial statements should be read in conjunction with the consolidated financial statements and related notes included in our Annual Report on Form 10-K for the fiscal year ended December 31, 2016, filed with the SEC on March 16, 2017.</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U.S. GAAP. In doing so, we must make estimates and assumptions that affect our reported amounts of assets, liabilities, revenues, and expenses, as well as related disclosure of contingent assets and liabilities. In some cases, we could reasonably have used different accounting policies and estimates. In some cases, changes in our accounting estimates are reasonably likely to occur. Accordingly, actual results could differ materially from our estimates. To the extent that there are material differences between these estimates and actual results, our financial condition or results of operations will be affected. We base our estimates on past experience and other assumptions that we believe are reasonable under the circumstances, at the time they are made and we evaluate these estimates on an ongoing basis. We refer to accounting estimates of this type as critical accounting policies and estimates, which we discuss further below.</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VirnetX Holding Corporation and our wholly-owned subsidiaries. All intercompany balances and transactions have been eliminated.</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6" w:name="page7"/>
    <w:bookmarkEnd w:id="6"/>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derive our revenue from patent licensing. The timing and amount of revenue recognized from each licensee depends upon a variety of factors, including the specific terms of each agreement and the nature of the deliverables and obligations. Such agreements may be complex and include multiple elements. These agreements may include, without limitation, elements related to the settlement of past patent infringement liabilities, up-front and non-refundable license fees for the use of patents, patent licensing royalties on covered products sold by licensees, and the compensation structure and ownership of intellectual property rights associated with contractual technology development arrangements. Licensing agreements are accounted for under the Financial Accounting Standards Board (“FASB”) revenue recognition guidance, “Revenue Arrangements with Multiple Deliverables.” This guidance requires consideration to be allocated to each element of an agreement that has stand-alone value using the relative fair value method. In other circumstances, such as those agreements involving consideration for past and expected future patent royalty obligations, after consideration of the particular facts and circumstances, the appropriate recording of revenue between periods may require the use of judgment. In all cases, revenue is only recognized after all the following criteria are met: (1) written agreements have been executed; (2) delivery of technology or intellectual property rights has occurred or services have been rendered; (3) fees are fixed or determinable; and (4) collectability of fees is reasonably assured.</w:t>
      </w:r>
    </w:p>
    <w:p>
      <w:pPr>
        <w:spacing w:after="0" w:line="2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Patent License Agreements</w:t>
      </w:r>
      <w:r>
        <w:rPr>
          <w:rFonts w:ascii="Times New Roman" w:cs="Times New Roman" w:eastAsia="Times New Roman" w:hAnsi="Times New Roman"/>
          <w:sz w:val="18"/>
          <w:szCs w:val="18"/>
          <w:color w:val="auto"/>
        </w:rPr>
        <w:t>: Upon signing a patent license agreement, including licenses entered upon settlement of litigation, we provide the licensee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permission to use our patented technology in specific applications. We account for patent license agreements in accordance with the guidance for revenue recognition for arrangements with multiple deliverables, with amounts allocated to each element based on their fair values. We have elected to utilize the leased-based model for revenue recognition with revenue being recognized over the expected period of benefit to the licensee. Under our patent license agreements, we do or expect to typically receive one or a combination of the following forms of payment as consideration for permitting our licensees to use our patented inventions in specific applications and products:</w:t>
      </w:r>
    </w:p>
    <w:p>
      <w:pPr>
        <w:spacing w:after="0" w:line="210" w:lineRule="exact"/>
        <w:rPr>
          <w:sz w:val="20"/>
          <w:szCs w:val="20"/>
          <w:color w:val="auto"/>
        </w:rPr>
      </w:pPr>
    </w:p>
    <w:p>
      <w:pPr>
        <w:jc w:val="both"/>
        <w:ind w:firstLine="8"/>
        <w:spacing w:after="0" w:line="257" w:lineRule="auto"/>
        <w:tabs>
          <w:tab w:leader="none" w:pos="1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Consideration for Past Sales</w:t>
      </w:r>
      <w:r>
        <w:rPr>
          <w:rFonts w:ascii="Times New Roman" w:cs="Times New Roman" w:eastAsia="Times New Roman" w:hAnsi="Times New Roman"/>
          <w:sz w:val="18"/>
          <w:szCs w:val="18"/>
          <w:color w:val="auto"/>
        </w:rPr>
        <w:t>: Consideration related to a licensee’s product sales from prior periods may result from a negotiated agreement with a licensee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utilized our patented technology prior to signing a patent license agreement with us or from the resolution of a litigation, disagreement or arbitration with a licensee over the specific terms of an existing license agreement. We may also receive royalty for past sales in connection with the settlement of patent litigation where there was no prior patent license agreement. These amounts are negotiated, typically based upon application of a royalty rate to historical sales prior to the execution of the license agreement. In each of these cases, because delivery has occurred, we record the consideration as revenue when we have obtained a signed agreement, identified a fixed or determinable price, and determined that collectability is reasonably assured.</w:t>
      </w:r>
    </w:p>
    <w:p>
      <w:pPr>
        <w:spacing w:after="0" w:line="209" w:lineRule="exact"/>
        <w:rPr>
          <w:rFonts w:ascii="Times New Roman" w:cs="Times New Roman" w:eastAsia="Times New Roman" w:hAnsi="Times New Roman"/>
          <w:sz w:val="18"/>
          <w:szCs w:val="18"/>
          <w:color w:val="auto"/>
        </w:rPr>
      </w:pPr>
    </w:p>
    <w:p>
      <w:pPr>
        <w:jc w:val="both"/>
        <w:ind w:firstLine="8"/>
        <w:spacing w:after="0" w:line="257" w:lineRule="auto"/>
        <w:tabs>
          <w:tab w:leader="none" w:pos="10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Current Royalty Payments</w:t>
      </w:r>
      <w:r>
        <w:rPr>
          <w:rFonts w:ascii="Times New Roman" w:cs="Times New Roman" w:eastAsia="Times New Roman" w:hAnsi="Times New Roman"/>
          <w:sz w:val="18"/>
          <w:szCs w:val="18"/>
          <w:color w:val="auto"/>
        </w:rPr>
        <w:t>: Ongoing royalty payments cover a licensee’s obligations to us related to its sales of covered products in the current contractual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period. Licensees that owe these current royalty payments are obligated to provide us with quarterly or semi-annual royalty reports that summarize their sales of covered products and their related royalty obligations to us. We expect to receive these royalty reports subsequent to the period in which our licensees’ underlying sales occurred. As a result, it is impractical for us to recognize revenue in the period in which the underlying sales occur, and, in most cases, we will recognize revenue in the period in which the royalty report is received and other revenue recognition criteria are met due to the fact that without royalty reports from our licensees, our visibility into our licensees’ sales is limited.</w:t>
      </w:r>
    </w:p>
    <w:p>
      <w:pPr>
        <w:spacing w:after="0" w:line="209" w:lineRule="exact"/>
        <w:rPr>
          <w:rFonts w:ascii="Times New Roman" w:cs="Times New Roman" w:eastAsia="Times New Roman" w:hAnsi="Times New Roman"/>
          <w:sz w:val="18"/>
          <w:szCs w:val="18"/>
          <w:color w:val="auto"/>
        </w:rPr>
      </w:pPr>
    </w:p>
    <w:p>
      <w:pPr>
        <w:jc w:val="both"/>
        <w:ind w:firstLine="8"/>
        <w:spacing w:after="0" w:line="259" w:lineRule="auto"/>
        <w:tabs>
          <w:tab w:leader="none" w:pos="10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Non-Refundable Up-Front Fees and Minimum Fee Contracts</w:t>
      </w:r>
      <w:r>
        <w:rPr>
          <w:rFonts w:ascii="Times New Roman" w:cs="Times New Roman" w:eastAsia="Times New Roman" w:hAnsi="Times New Roman"/>
          <w:sz w:val="18"/>
          <w:szCs w:val="18"/>
          <w:color w:val="auto"/>
        </w:rPr>
        <w:t>: For licenses that provide for non-refundable up-front or fixed minimum fees over their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which we have no future obligations or performance requirements, revenue is generally recognized over the license term. For licenses that provide for fees that are not fixed or determinable, including licenses that provide for extended payment terms and/or payment of a significant portion of the fee after expiration of the license or more than 12 months after delivery, the fees are generally presumed not to be fixed or determinable, and revenue is deferred and recognized as earned, but generally not in advance of collection.</w:t>
      </w:r>
    </w:p>
    <w:p>
      <w:pPr>
        <w:spacing w:after="0" w:line="206" w:lineRule="exact"/>
        <w:rPr>
          <w:rFonts w:ascii="Times New Roman" w:cs="Times New Roman" w:eastAsia="Times New Roman" w:hAnsi="Times New Roman"/>
          <w:sz w:val="18"/>
          <w:szCs w:val="18"/>
          <w:color w:val="auto"/>
        </w:rPr>
      </w:pPr>
    </w:p>
    <w:p>
      <w:pPr>
        <w:ind w:firstLine="8"/>
        <w:spacing w:after="0" w:line="284" w:lineRule="auto"/>
        <w:tabs>
          <w:tab w:leader="none" w:pos="10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Non-Royalty Elements</w:t>
      </w:r>
      <w:r>
        <w:rPr>
          <w:rFonts w:ascii="Times New Roman" w:cs="Times New Roman" w:eastAsia="Times New Roman" w:hAnsi="Times New Roman"/>
          <w:sz w:val="18"/>
          <w:szCs w:val="18"/>
          <w:color w:val="auto"/>
        </w:rPr>
        <w:t>: Elements that are not related to royalty revenue in nature, such as settlement fees, expense reimbursement, and damages, if any,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recorded as gain from settlement which is reflected as a separate line item within the operating expenses section in the consolidated statements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5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August 2013, we began receiving annual payments on a contract requiring payment to us over 4 years totaling $10,000 ("August 2013 Contract Settlement"). In accordance with our revenue recognition policy we defer and recognize revenue over the life of the contract, but not ahead of collection. We collected the final payment under the contract in 2016 and recognized $375 of revenue, related to the August 2013 Contract Settlement, during the three months ended March 31, 2017 and 2016.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Activity under the August 2013 Contract Settlement was as follows:</w:t>
            </w:r>
          </w:p>
        </w:tc>
        <w:tc>
          <w:tcPr>
            <w:tcW w:w="2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December 31, 2016</w:t>
            </w:r>
          </w:p>
        </w:tc>
        <w:tc>
          <w:tcPr>
            <w:tcW w:w="300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2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Less: Amount amortized as revenue</w:t>
            </w:r>
          </w:p>
        </w:tc>
        <w:tc>
          <w:tcPr>
            <w:tcW w:w="25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March 31, 2017</w:t>
            </w:r>
          </w:p>
        </w:tc>
        <w:tc>
          <w:tcPr>
            <w:tcW w:w="25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120" w:type="dxa"/>
            <w:vAlign w:val="bottom"/>
            <w:tcBorders>
              <w:bottom w:val="single" w:sz="8" w:color="CCEEFF"/>
            </w:tcBorders>
            <w:shd w:val="clear" w:color="auto" w:fill="CCEEFF"/>
          </w:tcPr>
          <w:p>
            <w:pPr>
              <w:spacing w:after="0"/>
              <w:rPr>
                <w:sz w:val="22"/>
                <w:szCs w:val="22"/>
                <w:color w:val="auto"/>
              </w:rPr>
            </w:pP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1"/>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2580" w:type="dxa"/>
            <w:vAlign w:val="bottom"/>
          </w:tcPr>
          <w:p>
            <w:pPr>
              <w:jc w:val="right"/>
              <w:ind w:right="2059"/>
              <w:spacing w:after="0"/>
              <w:rPr>
                <w:sz w:val="20"/>
                <w:szCs w:val="20"/>
                <w:color w:val="auto"/>
              </w:rPr>
            </w:pPr>
            <w:r>
              <w:rPr>
                <w:rFonts w:ascii="Times New Roman" w:cs="Times New Roman" w:eastAsia="Times New Roman" w:hAnsi="Times New Roman"/>
                <w:sz w:val="14"/>
                <w:szCs w:val="14"/>
                <w:color w:val="auto"/>
              </w:rPr>
              <w:t>5</w:t>
            </w: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5280" w:type="dxa"/>
            <w:vAlign w:val="bottom"/>
            <w:tcBorders>
              <w:bottom w:val="single" w:sz="8" w:color="auto"/>
            </w:tcBorders>
          </w:tcPr>
          <w:p>
            <w:pPr>
              <w:spacing w:after="0"/>
              <w:rPr>
                <w:sz w:val="3"/>
                <w:szCs w:val="3"/>
                <w:color w:val="auto"/>
              </w:rPr>
            </w:pPr>
          </w:p>
        </w:tc>
        <w:tc>
          <w:tcPr>
            <w:tcW w:w="25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5" w:right="239" w:bottom="1440" w:gutter="0" w:footer="0" w:header="0"/>
        </w:sectPr>
      </w:pPr>
    </w:p>
    <w:bookmarkStart w:id="7" w:name="page8"/>
    <w:bookmarkEnd w:id="7"/>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earnings per share are computed by dividing earnings available to common stockholders by the weighted average number of outstanding common shares during the period. Diluted earnings per share are computed by dividing net income by the weighted average number of shares outstanding during the period increased to include the number of additional shares of common stock that would have been outstanding if the potentially dilutive securities had been issued.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Other Risks and Uncertainties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cash and cash equivalents are primarily maintained at two major financial institutions in the United States. A portion of those balances are insured by the Federal Deposit Insurance Corporation. During the three months ended March 31, 2017 we had funds which were uninsured. We do not believe that we are subject to any unusual financial risk beyond the normal risk associated with commercial banking relationships with major financial institutions. We have not experienced any losses on our deposits of cash and cash equivalents.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Prepaid expenses at March 31, 2017 include the current portion of prepaid rent for a facility lease for corporate promotional and marketing purposes. From inception, the prepayment totaling $4,000 is being amortized over the 10-year term of the lease. The unamortized non-current portion of the prepayment is included in Prepaid expenses-non-current on the consolidated balance sheet.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an annual basis, we identify and record impairment losses on long-lived assets when events and changes in circumstances indicate that the carrying amount of an asset might not be recoverable. Recoverability is measured by comparison of the anticipated future net undiscounted cash flows to the related assets’ carrying value. If such assets are considered to be impaired, the impairment to be recognized is measured by the amount by which the carrying amount of the assets exceeds the projected discounted future net cash flows arising from the asset.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Fair value is the price that would result from an orderly transaction between market participants at the measurement date. A fair value hierarchy prioritizes the inputs used to measure fair value. The hierarchy gives the highest priority to unadjusted quoted prices in active markets for identical assets or liabilities (Level 1 measurement) and the lowest priority to unobservable inputs (Level 3 measurement). Level 2 measurements utilize either directly or indirectly observable inputs in markets other than quoted prices in active markets.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financial instruments are stated at amounts that equal, or approximate, fair value. When we estimate fair value, we utilize market data or assumptions that we believe market participants would use in pricing the financial instrument, including assumptions about risk and inputs to the valuation technique. We use valuation techniques, primarily the income and market approach, which maximizes the use of observable inputs and minimize the use of unobservable inputs for recurring fair value measurements.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Mutual Funds: </w:t>
      </w:r>
      <w:r>
        <w:rPr>
          <w:rFonts w:ascii="Times New Roman" w:cs="Times New Roman" w:eastAsia="Times New Roman" w:hAnsi="Times New Roman"/>
          <w:sz w:val="18"/>
          <w:szCs w:val="18"/>
          <w:color w:val="auto"/>
        </w:rPr>
        <w:t>Valued at the quoted net asset value of shares held.</w:t>
      </w:r>
    </w:p>
    <w:p>
      <w:pPr>
        <w:spacing w:after="0" w:line="25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U.S. government and U.S. agency securities</w:t>
      </w:r>
      <w:r>
        <w:rPr>
          <w:rFonts w:ascii="Times New Roman" w:cs="Times New Roman" w:eastAsia="Times New Roman" w:hAnsi="Times New Roman"/>
          <w:sz w:val="18"/>
          <w:szCs w:val="18"/>
          <w:color w:val="auto"/>
        </w:rPr>
        <w:t>: Fair value measured at the closing price reported on the active market on which the individual securities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traded.</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8" w:name="page9"/>
    <w:bookmarkEnd w:id="8"/>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show the adjusted cost, gross unrealized gains, gross unrealized losses and fair value of our securities by significant investment category as of March 31, 2017 and December 31, 2016.</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gridSpan w:val="8"/>
          </w:tcPr>
          <w:p>
            <w:pPr>
              <w:ind w:left="320"/>
              <w:spacing w:after="0"/>
              <w:rPr>
                <w:sz w:val="20"/>
                <w:szCs w:val="20"/>
                <w:color w:val="auto"/>
              </w:rPr>
            </w:pPr>
            <w:r>
              <w:rPr>
                <w:rFonts w:ascii="Times New Roman" w:cs="Times New Roman" w:eastAsia="Times New Roman" w:hAnsi="Times New Roman"/>
                <w:sz w:val="18"/>
                <w:szCs w:val="18"/>
                <w:b w:val="1"/>
                <w:bCs w:val="1"/>
                <w:color w:val="auto"/>
              </w:rPr>
              <w:t>March 31, 2017</w:t>
            </w: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8"/>
              </w:rPr>
              <w:t>Investments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5"/>
              </w:rPr>
              <w:t>Unrealized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w w:val="94"/>
              </w:rPr>
              <w:t>Cash and Cash</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Available for</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21"/>
                <w:szCs w:val="21"/>
                <w:color w:val="auto"/>
              </w:rPr>
            </w:pPr>
          </w:p>
        </w:tc>
        <w:tc>
          <w:tcPr>
            <w:tcW w:w="1220" w:type="dxa"/>
            <w:vAlign w:val="bottom"/>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0" w:type="dxa"/>
            <w:vAlign w:val="bottom"/>
          </w:tcPr>
          <w:p>
            <w:pPr>
              <w:spacing w:after="0"/>
              <w:rPr>
                <w:sz w:val="21"/>
                <w:szCs w:val="21"/>
                <w:color w:val="auto"/>
              </w:rPr>
            </w:pPr>
          </w:p>
        </w:tc>
        <w:tc>
          <w:tcPr>
            <w:tcW w:w="114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Equivalents</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Sale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tcBorders>
              <w:top w:val="single" w:sz="8" w:color="auto"/>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20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1:</w:t>
            </w: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Mutual funds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1,662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U.S. agency securities</w:t>
            </w: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6,133</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6,129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0" w:type="dxa"/>
            <w:vAlign w:val="bottom"/>
            <w:tcBorders>
              <w:right w:val="single" w:sz="8" w:color="auto"/>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Borders>
              <w:left w:val="single" w:sz="8" w:color="CCEEFF"/>
            </w:tcBorders>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7,795</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7,791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CEEFF"/>
          </w:tcPr>
          <w:p>
            <w:pPr>
              <w:spacing w:after="0"/>
              <w:rPr>
                <w:sz w:val="20"/>
                <w:szCs w:val="20"/>
                <w:color w:val="auto"/>
              </w:rPr>
            </w:pPr>
          </w:p>
        </w:tc>
        <w:tc>
          <w:tcPr>
            <w:tcW w:w="100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9,742</w:t>
            </w: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9,738</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3,609</w:t>
            </w:r>
          </w:p>
        </w:tc>
        <w:tc>
          <w:tcPr>
            <w:tcW w:w="200" w:type="dxa"/>
            <w:vAlign w:val="bottom"/>
            <w:tcBorders>
              <w:left w:val="single" w:sz="8" w:color="CCEEFF"/>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8"/>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December 31, 2016</w:t>
            </w: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Cash</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Investments</w:t>
            </w:r>
          </w:p>
        </w:tc>
        <w:tc>
          <w:tcPr>
            <w:tcW w:w="120" w:type="dxa"/>
            <w:vAlign w:val="bottom"/>
            <w:gridSpan w:val="2"/>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65"/>
              <w:spacing w:after="0"/>
              <w:rPr>
                <w:sz w:val="20"/>
                <w:szCs w:val="20"/>
                <w:color w:val="auto"/>
              </w:rPr>
            </w:pPr>
            <w:r>
              <w:rPr>
                <w:rFonts w:ascii="Times New Roman" w:cs="Times New Roman" w:eastAsia="Times New Roman" w:hAnsi="Times New Roman"/>
                <w:sz w:val="18"/>
                <w:szCs w:val="18"/>
                <w:b w:val="1"/>
                <w:bCs w:val="1"/>
                <w:color w:val="auto"/>
              </w:rPr>
              <w:t>Adjusted</w:t>
            </w:r>
          </w:p>
        </w:tc>
        <w:tc>
          <w:tcPr>
            <w:tcW w:w="136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140" w:type="dxa"/>
            <w:vAlign w:val="bottom"/>
          </w:tcPr>
          <w:p>
            <w:pPr>
              <w:spacing w:after="0"/>
              <w:rPr>
                <w:sz w:val="18"/>
                <w:szCs w:val="18"/>
                <w:color w:val="auto"/>
              </w:rPr>
            </w:pPr>
          </w:p>
        </w:tc>
        <w:tc>
          <w:tcPr>
            <w:tcW w:w="122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120" w:type="dxa"/>
            <w:vAlign w:val="bottom"/>
          </w:tcPr>
          <w:p>
            <w:pPr>
              <w:spacing w:after="0"/>
              <w:rPr>
                <w:sz w:val="18"/>
                <w:szCs w:val="18"/>
                <w:color w:val="auto"/>
              </w:rPr>
            </w:pPr>
          </w:p>
        </w:tc>
        <w:tc>
          <w:tcPr>
            <w:tcW w:w="106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Fair</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and Cash</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Available</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545"/>
              <w:spacing w:after="0"/>
              <w:rPr>
                <w:sz w:val="20"/>
                <w:szCs w:val="20"/>
                <w:color w:val="auto"/>
              </w:rPr>
            </w:pPr>
            <w:r>
              <w:rPr>
                <w:rFonts w:ascii="Times New Roman" w:cs="Times New Roman" w:eastAsia="Times New Roman" w:hAnsi="Times New Roman"/>
                <w:sz w:val="18"/>
                <w:szCs w:val="18"/>
                <w:b w:val="1"/>
                <w:bCs w:val="1"/>
                <w:color w:val="auto"/>
              </w:rPr>
              <w:t>Cost</w:t>
            </w:r>
          </w:p>
        </w:tc>
        <w:tc>
          <w:tcPr>
            <w:tcW w:w="9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Equivalents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7"/>
              </w:rPr>
              <w:t>for Sale</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w:t>
            </w:r>
          </w:p>
        </w:tc>
        <w:tc>
          <w:tcPr>
            <w:tcW w:w="2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right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w:t>
            </w:r>
          </w:p>
        </w:tc>
        <w:tc>
          <w:tcPr>
            <w:tcW w:w="220" w:type="dxa"/>
            <w:vAlign w:val="bottom"/>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gridSpan w:val="2"/>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1:</w:t>
            </w: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3,195</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gridSpan w:val="3"/>
          </w:tcPr>
          <w:p>
            <w:pPr>
              <w:jc w:val="right"/>
              <w:ind w:right="135"/>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8"/>
                <w:szCs w:val="18"/>
                <w:color w:val="auto"/>
              </w:rPr>
            </w:pPr>
          </w:p>
        </w:tc>
        <w:tc>
          <w:tcPr>
            <w:tcW w:w="1220" w:type="dxa"/>
            <w:vAlign w:val="bottom"/>
            <w:gridSpan w:val="4"/>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3,195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3,195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gridSpan w:val="3"/>
          </w:tcPr>
          <w:p>
            <w:pPr>
              <w:jc w:val="right"/>
              <w:ind w:right="33"/>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tcBorders>
              <w:right w:val="single" w:sz="8" w:color="CCEEFF"/>
            </w:tcBorders>
            <w:gridSpan w:val="3"/>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4"/>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1,254</w:t>
            </w:r>
          </w:p>
        </w:tc>
        <w:tc>
          <w:tcPr>
            <w:tcW w:w="10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U.S. agency securities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7,996</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gridSpan w:val="3"/>
          </w:tcPr>
          <w:p>
            <w:pPr>
              <w:jc w:val="right"/>
              <w:ind w:right="55"/>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7,995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7,995</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gridSpan w:val="2"/>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gridSpan w:val="2"/>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gridSpan w:val="2"/>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gridSpan w:val="2"/>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12,445</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tcBorders>
              <w:right w:val="single" w:sz="8" w:color="CCEEFF"/>
            </w:tcBorders>
            <w:gridSpan w:val="3"/>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tcBorders>
              <w:right w:val="single" w:sz="8" w:color="auto"/>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Borders>
              <w:left w:val="single" w:sz="8" w:color="auto"/>
            </w:tcBorders>
            <w:shd w:val="clear" w:color="auto" w:fill="000000"/>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15,877</w:t>
            </w:r>
          </w:p>
        </w:tc>
        <w:tc>
          <w:tcPr>
            <w:tcW w:w="20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spacing w:after="0"/>
              <w:rPr>
                <w:sz w:val="18"/>
                <w:szCs w:val="18"/>
                <w:color w:val="auto"/>
              </w:rPr>
            </w:pPr>
          </w:p>
        </w:tc>
        <w:tc>
          <w:tcPr>
            <w:tcW w:w="380" w:type="dxa"/>
            <w:vAlign w:val="bottom"/>
            <w:gridSpan w:val="3"/>
          </w:tcPr>
          <w:p>
            <w:pPr>
              <w:jc w:val="right"/>
              <w:ind w:right="55"/>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15,876</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6,627</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9,249</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2016, the FASB issued Accounting Standards Update (“ASU”) No. 2016-13, Financial Instruments-Credit Losses (Topic 326). The purpose of this ASU is to require a financial asset measured at amortized cost basis to be presented at the net amount expected to be collected. Credit losses relating to available-for-sale debt securities should be recorded through an allowance for credit losses. This ASU is effective for interim and annual reporting periods beginning after December 15, 2019. We are evaluating the impact this guidance will have on our financial position and statement of operations.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2016, the FASB issued ASU No. 2016-09, Compensation – Stock Compensation (Topic 718) (“ASU 2016-09”), which simplified certain aspects of the accounting for share-based payment transactions, including income taxes, classification of awards and classification in the statement of cash flows. ASU 2016-09 will be effective for us beginning the first quarter of 2018. We are evaluating the impact of adopting the new stock compensation standard on our consolidated financial statements.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2016, FASB issued ASU No. 2016-02, Leases (Topic 842) (“ASU 2016-02”). ASU 2016-02 requires an entity to recognize right-of-use assets and lease liabilities on its balance sheet and disclose key information about leasing arrangements. For public companies, ASU 2016-02 is effective for annual reporting periods beginning after December 15, 2018, including interim periods within that reporting period, and requires a modified retrospective adoption, with early adoption permitted. We are evaluating the impact this guidance will have on our financial position and statement of operations.</w:t>
      </w:r>
    </w:p>
    <w:p>
      <w:pPr>
        <w:spacing w:after="0" w:line="1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2015, the FASB issued ASU No. 2015-17—Income Taxes (Topic 740)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Current GAAP requires an entity to separate deferred income tax liabilities and assets into current and noncurrent amounts in a classified statement of financial position. To simplify the presentation of deferred income taxes, this Update requires that deferred tax liabilities and assets be classified as noncurrent in a classified statement of financial position. The amendments in this Update apply to all entities that present a classified statement of financial position. The current requirement that deferred tax liabilities and assets of a tax-paying component of an entity be offset and presented as a single amount is not affected by the amendments in this Update. For public business entities, the amendments in this Update are effective for financial statements issued for annual periods beginning after December 15, 2016, and interim periods within those annual periods. Earlier application is permitted for all entities as of the beginning of an interim or annual reporting period. We adopted this update in 2017 and implementation did not have a material impact on our financial position or statement of operations.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9" w:name="page10"/>
    <w:bookmarkEnd w:id="9"/>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May 2014, the FASB issued ASU No. 2014-09 Revenue from Contracts with Customers (Topic 606). This ASU was subsequently amended by ASU No. 2016-10 and 2016-12. As amended, Topic 606 supersedes the revenue recognition requirements in Topic 605, Revenue Recognition including most industry-specific revenue recognition guidance throughout the Industry Topics of the Codification. In addition, the amendments create a new Subtopic 340-40, Other Assets and Deferred Costs—Contracts with Customers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summary, the core principle of Topic 606 is that an entity recognizes revenue to depict the transfer of promised goods or services to customers in an amount that reflects the consideration to which the entity expects to be entitled in exchange for those goods or services. For a public entity, the amendments in this Update are effective for annual reporting periods beginning after December 15, 2017, including interim periods within that reporting period. Earlier application is permitted only as of annual reporting periods beginning after December 15, 2016, including interim reporting periods within that reporting period. We are currently evaluating the impact this guidance will have on our financial position and statement of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Income Taxes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had income tax expense of $5 and $7 for the three months ended March 31, 2017 and 2016, respectively, as a result of minimum tax payments. During the three month period ended March 31, 2017, we had net operating losses (“NOLs”) which generated deferred tax assets for NOL carry-forwards. We provided valuation allowances against the net deferred tax assets including the deferred tax assets for NOL carryforwards. Valuation allowances provided for our net deferred tax assets increased by approximately $1,786 and $3,342 for the three months ended March 31, 2017 and 2016, respectively.</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assessing the realization of deferred tax assets, management considers whether it is more likely than not that some portion or all of the deferred tax assets will not be realized. The ultimate realization of the deferred tax assets is dependent upon the generation of future taxable income during the periods in which those temporary differences become deductible. Based on the available objective evidence, management believes it is more likely than not that the net deferred tax assets at March 31, 2017 will not be fully realizable. Accordingly, management has maintained a full valuation allowance against its net deferred tax assets at March 31, 2017. The valuation allowance carried against our net deferred tax assets was approximately $46,000 and $44,000 at March 31, 2017 and December 31, 2016, respectively.</w:t>
      </w:r>
    </w:p>
    <w:p>
      <w:pPr>
        <w:spacing w:after="0" w:line="2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March 31, 2017, we have federal and state net operating loss carry-forwards of approximately $78,000 and $61,000, respectively, expiring beginning in 2027 and began in 2016 for state,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tax years for 2005 and forward are subject to examination by the U.S. tax authority and various state tax authorities. These years are open due to net operating losses and tax credits remaining unutilized from such years.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policy is to recognize interest and penalties accrued on uncertain tax positions as a component of income tax expense. As of March 31, 2017, we had accrued immaterial amounts of interest and penalties related to the uncertain tax positions.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Commitments And Related Party Transactions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lease our offices under an operating lease with a third party expiring in October 2017. We recognize rent expense on a straight-line basis over the term of the lease.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lease the use of an aircraft from K2 Investment Fund LLC (‘‘LLC’’) for business travel for employees of the Company. We incurred approximately $252 and $132 in rental fees and reimbursements to LLC during the three months ended March 31, 2017 and 2016, respectively. Our Chief Executive Officer and Chief Administrative Officer are the managing partners of the LLC and control the equity interests of LLC. On January 31, 2015, we entered into a 12-month non-exclusive lease with LLC for use of the plane at a rate of $8 per flight hour, with no minimum usage requirement. The agreement contains other terms and conditions normal in such transactions and can be cancelled by either us or LLC with 30 days’ notice. The lease renews on an annual basis unless terminated by the lessor or lessee. Neither party has exercised their termination rights.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Stock Based Compensation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 stock incentive plan for employees and others called the “VirnetX Holding Corporation 2013 Equity Incentive Plan”, or the Plan, which has been approved by our stockholders. The Plan provides for the granting of up to 14,124,469 shares of our common stock, including stock options and stock purchase rights (“RSUs”), and will expire in 2024. As of March 31, 2017, 396,221 shares remained available for grant under the Plan. During the three months ending March 31, 2017 we granted options for a total of 25,000 shares with a weighted average grant date fair value of $1.69. During the three months ended March 31, 2016 there were no grants of options or RSUs.</w:t>
      </w:r>
    </w:p>
    <w:p>
      <w:pPr>
        <w:spacing w:after="0" w:line="21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Stock-based compensation expense included in general and administrative expense was $833 and $1,234 for the three months ended March 31, 2017 and 2016, respectively.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2017, the unrecognized stock-based compensation expense related to non-vested stock options and RSUs was $3,339 and $2,137, respectively, which will be amortized over an estimated weighted average period of approximately 2.54 and 2.20 years, respectively.</w:t>
      </w:r>
    </w:p>
    <w:p>
      <w:pPr>
        <w:sectPr>
          <w:pgSz w:w="11900" w:h="16838" w:orient="portrait"/>
          <w:cols w:equalWidth="0" w:num="1">
            <w:col w:w="11420"/>
          </w:cols>
          <w:pgMar w:left="240" w:top="115" w:right="239"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type w:val="continuous"/>
        </w:sectPr>
      </w:pPr>
    </w:p>
    <w:bookmarkStart w:id="10" w:name="page11"/>
    <w:bookmarkEnd w:id="10"/>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Equity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21, 2015, we filed a Universal Shelf Registration Statement with the SEC enabling us to offer and sell from time to time up to $100 million of equity, debt or other types of securities. We also entered into an at-the-market (“ATM”) equity offering sales agreement with Cowen &amp; Company, LLC on August 20, 2015, under which we may offer and sell shares of our common stock having an aggregate value of up to $35 million. We have and expect to use proceeds from this offering for GABRIEL product development and marketing, and general corporate purposes, which may include working capital, capital expenditures, other corporate expenses and acquisitions of complementary products, technologies or businesses. From August 20, 2015 through March 31, 2017, we sold 5,595,650 shares under the ATM. The average sales price per common share was $4.14 and the aggregate proceeds from the sales totaled $23,169 during the period. Sales commissions, fees and other costs associated with the ATM totaled $695.</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2017, there were no shares sold under the ATM.</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2015 we issued warrants (“Advisor Warrants”) for the purchase of 25,000 shares of common stock at an exercise price of $7 per share, which expire in April 2020. The Advisor Warrants were issued for advisory services provided by a third party. Our Advisor Warrants were recorded at fair value on the issuance date and included in Additional Paid in Capital on our Condensed Consolidated Balance Sheet. The Advisor Warrants are exercisable by the holder, in whole or in part, until expiration, and may also be net-share-settled. Terms of the warrant agreement include no registration requirements for the underlying common stock and there are no anti-dilution provisions. The fair value at issuance of the warrants was recorded in Prepaid Expenses and Other Current Assets, and was amortized over the twelve-month life of the service contract, with the expense included in Selling, General and Administrative Expense in our Condensed Consolidated Statements of Operations.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the Advisor Warrants at the issuance date of $121 was estimated utilizing the Black-Scholes valuation model with the following assumptions: (i) dividend yield on our common stock of 0 percent, (ii) expected stock price volatility of 87.5 percent, (iii) a risk-free interest rate of 1.33 percent, and (iv) an expected warrant term of 5 years.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warrants outstanding during the three months ended March 31, 2017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Original</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80" w:type="dxa"/>
            <w:vAlign w:val="bottom"/>
          </w:tcPr>
          <w:p>
            <w:pPr>
              <w:spacing w:after="0"/>
              <w:rPr>
                <w:sz w:val="18"/>
                <w:szCs w:val="18"/>
                <w:color w:val="auto"/>
              </w:rPr>
            </w:pPr>
          </w:p>
        </w:tc>
        <w:tc>
          <w:tcPr>
            <w:tcW w:w="13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180" w:type="dxa"/>
            <w:vAlign w:val="bottom"/>
          </w:tcPr>
          <w:p>
            <w:pPr>
              <w:spacing w:after="0"/>
              <w:rPr>
                <w:sz w:val="18"/>
                <w:szCs w:val="18"/>
                <w:color w:val="auto"/>
              </w:rPr>
            </w:pPr>
          </w:p>
        </w:tc>
        <w:tc>
          <w:tcPr>
            <w:tcW w:w="13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Price per</w:t>
            </w: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Exercisable at</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Terminated /</w:t>
            </w:r>
          </w:p>
        </w:tc>
        <w:tc>
          <w:tcPr>
            <w:tcW w:w="20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80" w:type="dxa"/>
            <w:vAlign w:val="bottom"/>
          </w:tcPr>
          <w:p>
            <w:pPr>
              <w:spacing w:after="0"/>
              <w:rPr>
                <w:sz w:val="18"/>
                <w:szCs w:val="18"/>
                <w:color w:val="auto"/>
              </w:rPr>
            </w:pPr>
          </w:p>
        </w:tc>
        <w:tc>
          <w:tcPr>
            <w:tcW w:w="13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Became</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Cancelled /</w:t>
            </w:r>
          </w:p>
        </w:tc>
        <w:tc>
          <w:tcPr>
            <w:tcW w:w="20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at March 31,</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100" w:type="dxa"/>
            <w:vAlign w:val="bottom"/>
          </w:tcPr>
          <w:p>
            <w:pPr>
              <w:spacing w:after="0"/>
              <w:rPr>
                <w:sz w:val="18"/>
                <w:szCs w:val="18"/>
                <w:color w:val="auto"/>
              </w:rPr>
            </w:pPr>
          </w:p>
        </w:tc>
      </w:tr>
      <w:tr>
        <w:trPr>
          <w:trHeight w:val="245"/>
        </w:trPr>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Issued</w:t>
            </w:r>
          </w:p>
        </w:tc>
        <w:tc>
          <w:tcPr>
            <w:tcW w:w="180" w:type="dxa"/>
            <w:vAlign w:val="bottom"/>
          </w:tcPr>
          <w:p>
            <w:pPr>
              <w:spacing w:after="0"/>
              <w:rPr>
                <w:sz w:val="21"/>
                <w:szCs w:val="21"/>
                <w:color w:val="auto"/>
              </w:rPr>
            </w:pPr>
          </w:p>
        </w:tc>
        <w:tc>
          <w:tcPr>
            <w:tcW w:w="13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240" w:type="dxa"/>
            <w:vAlign w:val="bottom"/>
          </w:tcPr>
          <w:p>
            <w:pPr>
              <w:spacing w:after="0"/>
              <w:rPr>
                <w:sz w:val="21"/>
                <w:szCs w:val="21"/>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14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Exercised</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Expired</w:t>
            </w:r>
          </w:p>
        </w:tc>
        <w:tc>
          <w:tcPr>
            <w:tcW w:w="144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1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00" w:type="dxa"/>
            <w:vAlign w:val="bottom"/>
          </w:tcPr>
          <w:p>
            <w:pPr>
              <w:spacing w:after="0"/>
              <w:rPr>
                <w:sz w:val="21"/>
                <w:szCs w:val="21"/>
                <w:color w:val="auto"/>
              </w:rPr>
            </w:pPr>
          </w:p>
        </w:tc>
      </w:tr>
      <w:tr>
        <w:trPr>
          <w:trHeight w:val="223"/>
        </w:trPr>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4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2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92"/>
              </w:rPr>
              <w:t>25,000</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April 2020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240" w:type="dxa"/>
            <w:vAlign w:val="bottom"/>
          </w:tcPr>
          <w:p>
            <w:pPr>
              <w:spacing w:after="0"/>
              <w:rPr>
                <w:sz w:val="18"/>
                <w:szCs w:val="18"/>
                <w:color w:val="auto"/>
              </w:rPr>
            </w:pPr>
          </w:p>
        </w:tc>
        <w:tc>
          <w:tcPr>
            <w:tcW w:w="126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8"/>
                <w:szCs w:val="18"/>
                <w:color w:val="auto"/>
              </w:rPr>
            </w:pPr>
          </w:p>
        </w:tc>
        <w:tc>
          <w:tcPr>
            <w:tcW w:w="126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8"/>
                <w:szCs w:val="18"/>
                <w:color w:val="auto"/>
              </w:rPr>
            </w:pPr>
          </w:p>
        </w:tc>
        <w:tc>
          <w:tcPr>
            <w:tcW w:w="126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8"/>
                <w:szCs w:val="18"/>
                <w:color w:val="auto"/>
              </w:rPr>
            </w:pPr>
          </w:p>
        </w:tc>
        <w:tc>
          <w:tcPr>
            <w:tcW w:w="13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25,000</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
        </w:trPr>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91"/>
        </w:trPr>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9</w:t>
            </w: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11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16" w:right="239" w:bottom="1440" w:gutter="0" w:footer="0" w:header="0"/>
        </w:sectPr>
      </w:pPr>
    </w:p>
    <w:bookmarkStart w:id="11" w:name="page12"/>
    <w:bookmarkEnd w:id="11"/>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Litigation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nine intellectual property infringement lawsuits pending in the United States District Court for the Eastern District of Texas, Tyler Division, and United States Court of Appeals for the Federal Circuit (“USCAFC”).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VirnetX Inc. v. Apple, Inc. (Case 6:12-CV-00855-LED)</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On March 30, 2015, the United States Court for the Eastern District of Texas, Tyler Division, issued an order finding substantial overlap between the remanded portions of the Civil Action Case 6:10-CV-00417-LED (VirnetX vs. Cisco et. al.), and the ongoing Civil Action Case 6:12-CV-00855-LED (VirnetX Inc. v. Apple, Inc.). The court consolidated the two civil actions under Civil Action Case 6:12-CV-00855-LED (VirnetX Inc. v. Apple, Inc.) and designated it as the lead case. The jury trial in this case was held on January 25, 2016. On February 4, 2016, a jury in the United States Court for the Eastern District of Texas, Tyler Division, awarded us $625.6 million in a verdict against Apple Inc. for infringing four of our US patents, marking it the second time a federal jury has found Apple liable for infringing VirnetX’s patented technology. The verdict includes royalties awarded to us based on an earlier patent infringement finding </w:t>
      </w:r>
      <w:r>
        <w:rPr>
          <w:rFonts w:ascii="Times New Roman" w:cs="Times New Roman" w:eastAsia="Times New Roman" w:hAnsi="Times New Roman"/>
          <w:sz w:val="18"/>
          <w:szCs w:val="18"/>
          <w:b w:val="1"/>
          <w:bCs w:val="1"/>
          <w:color w:val="auto"/>
        </w:rPr>
        <w:t>(Case 6:10-CV-00417-LED)</w:t>
      </w:r>
      <w:r>
        <w:rPr>
          <w:rFonts w:ascii="Times New Roman" w:cs="Times New Roman" w:eastAsia="Times New Roman" w:hAnsi="Times New Roman"/>
          <w:sz w:val="18"/>
          <w:szCs w:val="18"/>
          <w:color w:val="auto"/>
        </w:rPr>
        <w:t xml:space="preserve"> against Apple. The jury found that Apple’s modified VPN On-Demand, iMessage and FaceTime services infringed VirnetX’s patents and that Apple’s infringement was willful. In addition to determining the royalty owed by Apple for its prior infringement, this verdict also includes an award based on the jury’s finding that Apple’s modified VPN On Demand, iMessage and FaceTime services have continued to infringe VirnetX’s patents. The post-trial hearing was held on May 25, 2016 in the United States Court for the Eastern District of Texas, Texarkana Division. On July 29, 2016, the court issued a new order, vacating its previous orders consolidating the cases (Case No. 6:10-cv-417, Docket No. 878 (“Apple I case”); Case No. 6:12-cv-855, Docket No. 220 (“Apple II case”)), ordering that the two cases be retried separately, and setting the retrial date for Apple I case with jury selection to begin on September 26, 2016. The court also ordered that the issue of willfulness in both cases is bifurcated and that the Apple II case will be retried after Apple I case. Events and developments subsequent to the order from the court are described to support Apple I and Apple II matters.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VirnetX Inc. v. Cisco Systems, Inc. et al. (Case 6:10-CV-00417-LED) (“Apple I”)</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11, 2010, we initiated a lawsuit by filing a complaint against Aastra USA. Inc. (“Aastra”), Apple, Cisco Systems, Inc. (“Cisco”), and NEC Corporation (“NEC”) in the United States District Court for the Eastern District of Texas, Tyler Division, pursuant to which we alleged that these parties infringe on certain of our patents. We sought damages and injunctive relief. Aastra and NEC agreed to sign license agreements with us and we agreed to drop all the accusations of infringement against them. At the pre-trial hearing, the judge decided to conduct separate jury trial for each defendant, and try only the case against Apple on the scheduled trial date. The jury trial of our case against Cisco was held on March 4, 2013. The jury in our case against Cisco came back with a verdict of non-infringement also determined that all our patents-in-suit patents are not invalid. Our motions for a new trial and Cisco’s infringement of certain VirnetX patents were denied and the case against Cisco was closed.</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jury trial of our case against Apple was held on October 31, 2012. On November 6, 2012, a jury in the United States Court for the Eastern District of Texas, Tyler Division, awarded us over $368 million in a verdict against Apple for infringing four of our patents. On February 26, 2013, the court issued its Memorandum Opinion and Order regarding post-trial motions resulting from the prior jury verdict denying Apple’s motion to reduce the damages awarded by the jury for past infringement. The Court further denied Apple’s request for a new trial on the liability and damages portions of the verdict and granted our motions for pre-judgment interest, post-judgment interest, and post-verdict damages to date. The Court ordered that Apple pay $34 thousand in daily interest up to final judgment and $330 thousand in daily damages for infringement up to final judgment for certain Apple devices included in the verdict. The Court denied our request for a permanent injunction and severed the future infringement portion into its own separate proceedings under Case 6:13-CV-00211-LED.</w:t>
      </w:r>
    </w:p>
    <w:p>
      <w:pPr>
        <w:spacing w:after="0" w:line="2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July 3, 2013, Apple filed an appeal of the judgment dated February 27, 2013 and order dated June 4, 2013 denying Apple’s motion to alter or amend the judgment to the USCAFC. On September 16, 2014, USCAFC issued their opinion, affirming the jury’s finding that all 4 of our patents are valid, confirming the jury’s finding of infringement of VPN on Demand under many of the asserted claims of our ‘135 and ‘151 patents, and confirming the district’s court’s decision to allow evidence concerning our licenses and royalty rates in connection with the determination of damages. In its opinion, the USCAFC also vacated the jury’s damages award and the district court’s claim construction with respect to parts of our ‘504 and ‘211 patents and remanded the damages award and determination of infringement with respect to FaceTime –for further proceedings consistent with its opinion. On October 16, 2014, we filed a petition with the USCAFC, requesting a rehearing and rehearing en banc of the Federal Circuit’s September 14, 2014, decision concerning VirnetX’s litigation against Apple Inc. On December 16, 2014, USCAFC denied our petition requesting a rehearing and rehearing en banc of the Federal Circuit’s September 14, 2014, decision and remanded the case back to the Eastern District of Texas, Tyler Division, for further proceedings consistent with its opinion. On February 25, 2015, USCAFC granted Apple’s motions to lift stay of proceedings and vacate Case 6:13-CV-00211-LED. On March 30, 2015, the court issued an order finding substantial overlap between the remanded portions of this case and the ongoing Civil Action Case 6:12-CV-00855-LED (VirnetX Inc. v. Apple, Inc.). The court consolidated the two civil actions under Civil Action Case 6:12-CV-00855-LED (VirnetX Inc. v. Apple, Inc.) and designated it as the lead case.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12" w:name="page13"/>
    <w:bookmarkEnd w:id="12"/>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29, 2016, the court issued a new order, vacating its previous orders consolidating the cases Apple I case and Apple II case, ordering that the two cases be retried separately, and setting the retrial date for Apple I case with jury selection to begin on September 26, 2016. The court also ordered that the issue of willfulness in both cases is bifurcated and that the Apple II will be retried after Apple I case. The jury trial in this case was held on September 26, 2016. On September 30, 2016, a Jury in the United States Court for the Eastern District of Texas, Tyler Division, in the case VirnetX Inc., et al. v. Apple Inc., No. Apple I, has awarded VirnetX $302.4 million in a verdict against Apple for infringing four VirnetX patents, marking the third time a federal jury has found Apple liable for infringing VirnetX’s patented technology.</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verdict includes royalties awarded to VirnetX, for unresolved issues in the Apple I case, remanded back from the USCAFC, related to (1) damages owed to VirnetX for infringement by Apple’s original VPN-on-Demand (VOD) and (2) the alleged infringement by Apple’s original FaceTime product, under the new claim construction of “secure communication link” pertaining to the ’504 and ’211 patents by the USCAFC, and the damages associated with that infringement. The hearing on all the post-trial motions was held on November 22, 2016. We are currently awaiting the court ruling and final judgement in this case.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VirnetX Inc. v. Apple, Inc. (Case 6:12-CV-00855-LED) (“Apple II”)</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November 6, 2012, we filed a new complaint against Apple in the United States District Court for the Eastern District of Texas, Tyler Division for willfully infringing four of our patents, U.S. Patent Nos. 6,502,135, 7,418,504, 7,921,211 and 7,490,151, and seeking both an unspecified amount of damages and injunctive relief. The accused products include the iPhone 5, iPod Touch 5th Generation, iPad 4th Generation, iPad mini, and the latest Macintosh computers. Due to their release dates, these products were not included in the previous lawsuit that concluded with a Jury verdict on November 6, 2012 that was subsequently upheld by the United States District Court for the Eastern District of Texas, Tyler Division, on February 26, 2013. On July 1, 2013, we filed a consolidated and amended complaint to include U.S. Patent No. 8,051,181 and consolidate Civil Action No. 6:11-cv-00563-LED. On August 27, 2013, we filed an amended complaint including allegations of willful infringement related to U.S. Patent No. 8,504,697 seeking both damages and injunctive relief. The Markman hearing in this case was held on May 20, 2014 and on August 8, 2014, issued its Markman Order, denying Apple’s motion for summary judgment of indefiniteness, in which Apple alleged that some of the disputed claims terms in the patents asserted by us were invalid for indefiniteness. In a separate order, the court granted in part and denied in part our motion for partial summary judgment on Apple’s invalidity counterclaims, precluding Apple from asserting invalidity as a defense against infringement of the claims that were tried before a jury in our prior litigation against Apple (VirnetX vs. Cisco et. al., Case 6:10-CV-00417-LED). The jury trial in this case was scheduled for October 13, 2015. On March 30, 2015, the court issued an order finding substantial overlap between this case and the remanded portions of Case 6:10-CV-00417-LED (VirnetX vs. Cisco et. al.). The court consolidated the two civil actions under Civil Action Case 6:12-CV-00855-LED (VirnetX Inc. v. Apple, Inc.) and designated it as the lead case. On July 29, 2016, the court issued a new order, vacating its previous orders consolidating the cases Apple I case and Apple II case, ordering that the two cases be retried separately, and setting the retrial date for Apple I case with jury selection to begin on September 26, 2016. The court also ordered that the issue of willfulness in both cases is bifurcated and that the Apple II will be retried after Apple I case. We are awaiting court order setting the date for a new jury trial in Apple II case.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VirnetX Inc. v. Apple, Inc. (Case 15-1934)</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10, 2015, we filed appeals with the USCAFC, appealing the invalidity findings by the United States Patent and Trademark Office, Patent Trial and Appeal Board (“PTAB”) in IPR2014-00237 and IPR2014-00238, related to U.S. Patent No. 8,504,697. The oral arguments in this case were heard on November 7, 2016. On December 9, 2016, the USCAFC affirmed the PTAB based on the grounds discussed in IPR2014-00238. We are currently evaluating our options in this case.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VirnetX Inc. v. Apple, Inc. (Case 16-1211)</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28, 2015, we filed appeals with the USCAFC, appealing the invalidity findings by the PTAB in IPR2014-00403 and IPR2014-00404 and on October 22, 2015 for IPR2014-00481 and IPR2014-00482 involving our U.S. Patent Nos. 7,188,180, and 7,987,274. The oral arguments in this case were heard on November 7, 2016. On December 9, 2016, the USCAFC affirmed the PTAB based on the grounds discussed in IPR2014-00403 and IPR2014-00481. We are currently evaluating our options in this case.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VirnetX Inc. v. Apple, Inc. (Case 16-1480)</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30, 2015, we filed appeals with the USCAFC, appealing the invalidity findings by the PTAB in inter-partes reexamination no. 95/001,949 related to U.S. Patent No. 8,051,181. The oral arguments in this case were heard on November 7, 2016. On December 9, 2016, the USCAFC affirmed the PTAB based on certain grounds. We are currently evaluating our options in this case.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VirnetX Inc. v. Apple, Inc. (case 16-119)</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4, 2016, we filed a petition for writ of mandamus with the USCAFC, requesting the USCAFC’s intervention to revoke the PTAB’s decision joining Apple to IPR2015-01046 and IPR2015-01047, related to U.S. Patent Nos. 6,502,135 and 7,490,151. On March 18, 2016, the USCAFC denied the petition without prejudice to us raising the arguments on appeal after the PTAB’s final decisions. We are currently evaluating our options in this case.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VirnetX Inc. v. Apple, Inc. (Case 17-1131)</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31, 2016, we filed appeals with the USCAFC, appealing the invalidity findings by the PTAB in IPR2015-00810, IPR2015-00812, on November 9, 2016 for IPR2015-00811, and on November 28, 2016 for IPR2015-00866, IPR2015-00868, IPR2015-00870, IPR2015-00871 involving our U.S. Patent Nos.8,868,705, 8,850,009, 8,458,341, 8,516,131, and 8,560,705. These appeals have been consolidated.</w:t>
      </w:r>
    </w:p>
    <w:p>
      <w:pPr>
        <w:sectPr>
          <w:pgSz w:w="11900" w:h="16838" w:orient="portrait"/>
          <w:cols w:equalWidth="0" w:num="1">
            <w:col w:w="11420"/>
          </w:cols>
          <w:pgMar w:left="240" w:top="116" w:right="239" w:bottom="1059" w:gutter="0" w:footer="0" w:header="0"/>
        </w:sect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059" w:gutter="0" w:footer="0" w:header="0"/>
          <w:type w:val="continuous"/>
        </w:sectPr>
      </w:pPr>
    </w:p>
    <w:bookmarkStart w:id="13" w:name="page14"/>
    <w:bookmarkEnd w:id="13"/>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VirnetX Inc. v. The Mangrove Partners (Case 17-1368)</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16, 2016, we filed appeals with the USCAFC, appealing the invalidity findings by the PTAB in IPR2015-01046, and on December 20, 2016 for IPR2015-1047, involving our U.S. Patent Nos. 6,502,135, and 7,490,151. These appeals also involve Apple, Inc. and one of them involves Black Swamp IP, LLC.</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One or more potential intellectual property infringement claims may also be available to us against certain other companies who have the resources to defend against any such claims. Although we believe these potential claims are worth pursuing, commencing a lawsuit can be expensive and time-consuming, and there is no assurance that we will prevail on such potential claims. In addition, bringing a lawsuit may lead to potential counterclaims which may preclude our ability to commercialize our initial products, which are currently in development. Currently, we are not a party to any other pending legal proceedings, and are not aware of any proceeding threatened or contemplated against us by any governmental authority or other party.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4" w:name="page15"/>
    <w:bookmarkEnd w:id="14"/>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 MANAGEMENT’S DISCUSSION AND ANALYSIS OF FINANCIAL CONDITION AND RESULTS OF OPERATIONS.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 About Forward-Looking Statements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statements in this report,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as amended and Section 21E of the Securities Exchange Act of 1934, as amended. Forward-looking statements may appear throughout this report, including without limitation, the following sections: “Management’s Discussion and Analysis,” and “Risk Factors.” These forward-looking statements generally are identified by the words “believe,” “project,” “expect,” “anticipate,” “estimate,” “intend,” “strategy,” “future,” “opportunity,” “plan,” “may,” “should,” “will,” “would,” “will be,” “will continue,” “will likely result,” and similar expressions. Forward-looking statements are based on current expectations and assumptions that are subject to risks and uncertainties which may cause actual results to differ materially from the forward-looking statements. A detailed discussion of risks and uncertainties that could cause actual results and events to differ materially from such forward-looking statements is included in the section titled “Risk Factors” (Part II, Item 1A of this Form 10-Q). We undertake no obligation to update or revise publicly any forward-looking statements, whether because of new information, future events, or otherwise.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an Internet security software and technology company with patented technology for secure communications including 4G Long Term Evolution (“LTE”), security. Our software and technology solutions, including our Secure Domain Name Registry and GABRIEL Connection Technology™, are designed to facilitate secure communications and provide the security platform required by next-generation Internet-based applications such as instant messaging, or IM, voice over Internet Protocol, (“VoIP”), mobile services, streaming video, file transfer, remote desktop and Machine-to-Machine (“M2M”) communications. Our technology generates secure connections on a ‘‘zero-click’’ or ‘‘single-click’’ basis, significantly simplifying the deployment of secure real-time communication solutions by eliminating the need for end-users to enter any encryption information. Our portfolio of intellectual property is the foundation of our business model. We currently own approximately 49 U.S. and 69 foreign patents with approximately 50 pending patent applications worldwide. Our patent portfolio is primarily focused on securing real-time communications over the Internet, as well as related services such as the establishment and maintenance of a secure domain name registry. Our patented methods also have additional applications in the key areas of device operating systems and network security for Cloud services, M2M communications in new initiatives including ‘‘Smart City’’, ‘‘Connected Car’’ and ‘‘Connected Home’’ that would connect everything from social services and citizen engagement to public safety, transportation and economic development to the internet to enable more productivity, features and efficiency in our everyday lives. The subject matter of all our U.S. and foreign patents and pending applications relates generally to securing communication over the internet, and as such covers all our technology and other products. Our issued U.S. and foreign patents expire at various times during the period from 2019 to 2024. Some of our issued patents and pending patent applications were acquired by our principal operating subsidiary; VirnetX, Inc., from Leidos, Inc. (“Leidos”) (f/k/a Science Applications International Corporation, or SAIC) in 2006 and we are required to make payments to Leidos, based on cash or certain other values generated from those patents. The amount of such payments depends upon the type of value generated, and certain categories are subject to maximums and other limitations.</w:t>
      </w:r>
    </w:p>
    <w:p>
      <w:pPr>
        <w:spacing w:after="0" w:line="1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Our product Gabriel Secure Communication Platform™, unlike other collaboration and communication products and services on the market today, does not require access to user’s confidential data and reduces the threat of hacking and data mining. It enables individuals and organizations to maintain complete ownership and control over their personal and confidential data, secured within their own private network, while enabling authorized secure encrypted access from anywhere at any time. Our Gabriel Collaboration Suite™ is a set of applications that run on top of our Gabriel Secure Communication Platform™. It enables seamless and secure cross-platform communications between user’s devices that have our software installed. Our Gabriel Collaboration Suite™ is available for download and free trial, for Android, iOS, Windows, Linux and Mac OS X platforms, at </w:t>
      </w:r>
      <w:r>
        <w:rPr>
          <w:rFonts w:ascii="Times New Roman" w:cs="Times New Roman" w:eastAsia="Times New Roman" w:hAnsi="Times New Roman"/>
          <w:sz w:val="18"/>
          <w:szCs w:val="18"/>
          <w:u w:val="single" w:color="auto"/>
          <w:color w:val="auto"/>
        </w:rPr>
        <w:t>http://www.gabrielsecure.com/</w:t>
      </w:r>
      <w:r>
        <w:rPr>
          <w:rFonts w:ascii="Times New Roman" w:cs="Times New Roman" w:eastAsia="Times New Roman" w:hAnsi="Times New Roman"/>
          <w:sz w:val="18"/>
          <w:szCs w:val="18"/>
          <w:color w:val="auto"/>
        </w:rPr>
        <w:t>. We continue to enhance our products and add new functionality to our products. We will provide updates to new and existing customers as they are released to the public. Over 80 small and medium businesses have installed our Gabriel Secure Communication Platform™ and Gabriel Collaboration Suite™ products in their corporate networks. We seek to expand our customer base with targeted promotions and direct sales initiatives.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executed a number of patent and technology licenses and intend to seek further licensees for our technology, including our GABRIEL Connection Technology™ to original equipment manufacturers, or OEMs, of chips, servers, smart phones, tablets, e-Readers, laptops, net books and other devices, within the IP-telephony, mobility, fixed-mobile convergence and unified communications markets including 4G/LTE Advanced.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submitted a declaration with the 3rd Generation Partnership Project, or 3GPP, identifying a group of our patents and patent applications that we believe are or may become essential to certain developing specifications in the 3GPP LTE, SAE project. We have agreed to make available a non-exclusive patent license under fair, reasonable and non-discriminatory, or FRAND, terms and conditions, with compensation to 3GPP members desiring to implement the technical specifications identified by us. We believe that we are positioned to license our essential security patents to 3GPP members as they move into deploying 4G/LTE Advanced devices and solutions.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5" w:name="page16"/>
    <w:bookmarkEnd w:id="15"/>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an ongoing Gabriel Licensing Program under which we offer licenses to a portion of our patent portfolio, technology and software, including our secure domain name registry service, to domain infrastructure providers, communication service providers as well as to system integrators. Our GABRIEL Connection Technology™ License is offered to OEM customers who want to adopt the GABRIEL Connection Technology™ as their solution for establishing secure connections using secure domain names within their products. We have developed GABRIEL Connection Technology™ Software Development Kit (SDK) to assist with rapid integration of these techniques into existing software implementations with minimal code changes and include object libraries, sample code, testing and quality assurance tools and the supporting documentation necessary for a customer to implement our technology. Customers who want to develop their own implementation of the VirnetX patented techniques for supporting secure domain names, or other techniques that are covered by our patent portfolio for establishing secure communication links, can purchase a patent license. The number of patents licensed, and therefore the cost of the patent license to the customer, will depend upon which of the patents are used in a particular product or service. These licenses will typically include an initial license fee, as well as an ongoing royalty.</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signed Patent License Agreements with Avaya Inc., Aastra USA, Inc., Microsoft Corporation, Mitel Networks Corporation, NEC Corporation and NEC Corporation of America, Siemens Enterprise Communications GmbH &amp; Co. KG, and Siemens Enterprise Communications Inc. to license certain of our patents, for a one-time payment and/or an ongoing royalty for all future sales through the expiration of the licensed patents with respect to certain current and future IP-encrypted products. We have engaged IPVALUE Management Inc. to assist us in commercializing our portfolio of patents on securing real-time communications over the Internet. Under the multi-year agreement, IPVALUE is expected to originate and assist us with negotiating transactions related to patent licensing worldwide with respect to certain third parties.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the market opportunity for our software and technology solutions is large and expanding as secure domain names are now an integral part of securing the next generation 4G/LTE Advanced wireless networks and M2M communications in areas including Smart City, Connected Car and Connected Home. We also believe that all 4G/LTE Advanced mobile devices will require unique secure domain names and become part of a secure domain name registry.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intend to license our patent portfolio, technology and software, including our secure domain name registry service, to domain infrastructure providers, communication service providers as well as to system integrators. We intend to seek further license of our technology, including our GABRIEL Connection Technology™ to enterprise customers, developers and original equipment manufacturers, or OEMs, of chips, servers, smart phones, tablets, e-Readers, laptops, net books and other devices, within the IP-telephony, mobility, fixed-mobile convergence and unified communications markets including 4G/LTE.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employees include the core development team behind our patent portfolio, technology and software. This team has worked together for over ten years and is the same team that invented and developed this technology while working at Leidos, Inc. (‘‘Leidos’’). Leidos is a FORTUNE 500® scientific, engineering and technology applications company that uses its deep domain knowledge to solve problems of vital importance to the nation and the world, in national security, energy and the environment, critical infrastructure and health. The team has continued its research and development work started at Leidos, and expanded the set of patents we acquired in 2006 from Leidos, into a larger portfolio of over 110 U.S. and international patents and with over 75 pending applications. This portfolio now serves as the foundation of our licensing business and planned service offerings and is expected to generate the majority of our future revenue in license fees and royalties. We intend to continue our research and development efforts to further strengthen and expand our patent portfolio.</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intend to continue using an outsourced and leveraged model to maintain efficiency and manage costs as we grow our licensing business by, for example, offering incentives to early licensing targets or asserting our rights for use of our patents. We also intend to expand our design pilot in participation with leading 4G/LTE companies (domain infrastructure providers, chipset manufacturers, service providers and others) and build our secure domain name registry.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2016, the FASB issued Accounting Standards Update (“ASU”) No. 2016-13, Financial Instruments-Credit Losses (Topic 326). The purpose of this ASU is to require a financial asset measured at amortized cost basis to be presented at the net amount expected to be collected. Credit losses relating to available-for-sale debt securities should be recorded through an allowance for credit losses. This ASU is effective for interim and annual reporting periods beginning after December 15, 2019. We are evaluating the impact this guidance will have on our financial position and statement of operations.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2016, the FASB issued ASU No. 2016-09, Compensation – Stock Compensation (Topic 718) (“ASU 2016-09”), which simplified certain aspects of the accounting for share-based payment transactions, including income taxes, classification of awards and classification in the statement of cash flows. ASU 2016-09 will be effective for us beginning the first quarter of 2018. We are evaluating the impact of adopting the new stock compensation standard on our consolidated financial statements.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2016, FASB issued ASU No. 2016-02, Leases (Topic 842) (“ASU 2016-02”). ASU 2016-02 requires an entity to recognize right-of-use assets and lease liabilities on its balance sheet and disclose key information about leasing arrangements. For public companies, ASU 2016-02 is effective for annual reporting periods beginning after December 15, 2018, including interim periods within that reporting period, and requires a modified retrospective adoption, with early adoption permitted. We are evaluating the impact this guidance will have on our financial position and statement of operations.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6" w:name="page17"/>
    <w:bookmarkEnd w:id="16"/>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2015, the FASB issued ASU No. 2015-17—Income Taxes (Topic 740)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Current GAAP requires an entity to separate deferred income tax liabilities and assets into current and noncurrent amounts in a classified statement of financial position. To simplify the presentation of deferred income taxes, this Update requires that deferred tax liabilities and assets be classified as noncurrent in a classified statement of financial position. The amendments in this Update apply to all entities that present a classified statement of financial position. The current requirement that deferred tax liabilities and assets of a tax-paying component of an entity be offset and presented as a single amount is not affected by the amendments in this Update. For public business entities, the amendments in this Update are effective for financial statements issued for annual periods beginning after December 15, 2016, and interim periods within those annual periods. Earlier application is permitted for all entities as of the beginning of an interim or annual reporting period. We adopted this update in 2017 and implementation did not have a material impact on our financial position or statement of operations.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May 2014, the FASB issued ASU No. 2014-09 Revenue from Contracts with Customers (Topic 606). This ASU was subsequently amended by ASU No. 2016-10 and 2016-12. As amended, Topic 606 supersedes the revenue recognition requirements in Topic 605, Revenue Recognition including most industry-specific revenue recognition guidance throughout the Industry Topics of the Codification. In addition, the amendments create a new Subtopic 340-40, Other Assets and Deferred Costs—Contracts with Customers. In summary, the core principle of Topic 606 is that an entity recognizes revenue to depict the transfer of promised goods or services to customers in an amount that reflects the consideration to which the entity expects to be entitled in exchange for those goods or services. For a public entity, the amendments in this Update are effective for annual reporting periods beginning after December 15, 2017, including interim periods within that reporting period. Earlier application is permitted only as of annual reporting periods beginning after December 15, 2016, including interim reporting periods within that reporting period. We are currently evaluating the impact this guidance will have on our financial position and statement of operations.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7" w:name="page18"/>
    <w:bookmarkEnd w:id="17"/>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March 31, 2017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Compared with Three Months Ended March 31,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2017 and 2016 we recognized revenue of $375 from non-refundable up-front fees earned during the period. In August 2013, we began receiving annual payments on a contract which totaled $10,000 over the 4-year period. Revenues from these fees are deferred and recognized as revenue when earned in accordance with our revenue recognition policy, but not in advance of collection.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research and development expenses increased by $25 to $475 for the three months ended March 31, 2017, from $450 for the three months ended March 31, 2016. This increase was primarily due to increase in wages and health insurance costs for our employees.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selling, general and administrative expenses decreased by $4,737 to $3,806 for the three months ended March 31, 2017, from $8,543 for the three months ended March 31, 2016. The decrease is primarily due to a decrease in legal fees of $4,622 associated with our current patent infringement actions.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increased by $2 to $17 for the three months ended March 31, 2017, from $15 for the comparable 2016 period.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2017, our cash and cash equivalents totaled approximately $3,609 and our short-term investments totaled approximately $6,129, compared to cash and cash equivalents of approximately $6,627 and short-term investments of approximately $9,249 at December 31, 2016, respectively. Working capital was $7,904 at March 31, 2017, and $11,240 at December 31, 2016. The decrease in cash and investments during the three months ended March 31, 2017 was primarily attributed to costs incurred for legal expenses in defense of our patent infringement actions and the loss incurred during the period.</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that our cash and cash equivalents and short-term investments as of March 31, 2017, as well as our ability to receive cash from sales of common shares under the ATM and the Universal Shelf Registration Statement, described below, will be sufficient to fund our current level of selling, general and administration costs, including legal expenses and provide related working capital for the foreseeable future. Over the longer term, we expect to derive the majority of our future revenue from license fees and royalties associated with our patent portfolio, technology, software and secure domain name registry in the United States and other markets around the world.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Universal Shelf Registration Statement and ATM Offering</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21, 2015, we filed a universal shelf registration statement with the U.S. Securities and Exchange Commission enabling us to offer and sell from time to time up to $100 million of equity, debt or other types of securities. We also entered into an at-the-market (“ATM”) equity offering sales agreement with Cowen &amp; Company, LLC on August 20, 2015, under which we may offer and sell shares of our common stock having an aggregate value of up to $35 million. We expect to use proceeds from this offering for GABRIEL product development and marketing, and general corporate purposes, which may include working capital, capital expenditures, other corporate expenses and acquisitions of complementary products, technologies or businesses.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had income tax expense of $5 and $7 for the three months ended March 31, 2017 and 2016, respectively, as a result of minimum tax payments. During the three month period ended March 31, 2017, we had net operating losses (“NOLs”) which generated deferred tax assets for NOL carry-forwards. We provided valuation allowances against the net deferred tax assets including the deferred tax assets for NOL carryforwards. Valuation allowances provided for our net deferred tax assets increased by approximately $1,786 and $3,342 for the three months ended March 31, 2017 and 2016, respectively.</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assessing the realization of deferred tax assets, management considers whether it is more likely than not that some portion or all of the deferred tax assets will not be realized. The ultimate realization of the deferred tax assets is dependent upon the generation of future taxable income during the periods in which those temporary differences become deductible. Based on the available objective evidence, management believes it is more likely than not that the net deferred tax assets at March 31, 2017 will not be fully realizable. Accordingly, management has maintained a full valuation allowance against its net deferred tax assets at March 31, 2017. The valuation allowance carried against our net deferred tax assets was approximately $46,000 and $44,000 at March 31, 2017 and December 31, 2016, respectively.</w:t>
      </w:r>
    </w:p>
    <w:p>
      <w:pPr>
        <w:sectPr>
          <w:pgSz w:w="11900" w:h="16838" w:orient="portrait"/>
          <w:cols w:equalWidth="0" w:num="1">
            <w:col w:w="11420"/>
          </w:cols>
          <w:pgMar w:left="240" w:top="116" w:right="239"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type w:val="continuous"/>
        </w:sectPr>
      </w:pPr>
    </w:p>
    <w:bookmarkStart w:id="18" w:name="page19"/>
    <w:bookmarkEnd w:id="18"/>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 March 31, 2017, we have federal and state net operating loss carry-forwards of approximately $78,000 and $61,000, respectively, expiring beginning in 2027 and began in 2016 for state, respectively.</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tax years for 2005 and forward are subject to examination by the U.S. tax authority and various state tax authorities. These years are open due to net operating losses and tax credits remaining unutilized from such years.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policy is to recognize interest and penalties accrued on uncertain tax positions as a component of income tax expense. As of March 31, 2017, we had accrued immaterial amounts of interest and penalties related to the uncertain tax positions.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contractual obligations disclosed in our Annual Report on Form 10-K for the fiscal year ended December 31, 2016.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9" w:name="page20"/>
    <w:bookmarkEnd w:id="19"/>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 QUANTITATIVE AND QUALITATIVE DISCLOSURES ABOUT MARKET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invest our excess cash primarily in highly liquid instruments including time deposits, money market, and corporate debt securities. We seek to limit the amount of our credit exposure to any one issuer.</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Investments in fixed rate instruments carry a degree of interest rate risk. Fixed rate securities may have their fair market value adversely impacted due to a rise in interest rates. Due in part to these factors, our income from investments may decrease in the future.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considered the historical volatility of short-term interest rates and determined that it was reasonably possible that an adverse change of 100 basis points could be experienced in the near term but would have an immaterial impact in the fair value of our marketable securities, which generally mature within one year of March 31, 2017.</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Market Risks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considered the historical volatility of our stock prices and determined that it was reasonably possible that the fair market value of our stock price could increase or decrease substantially in the near term and could have a material impact to our consolidated balance sheets and statement of operations with respect to future stock-based compensation costs and other equity transactions.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 CONTROLS AND PROCEDURES.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conducted an evaluation of the effectiveness of the design and operation of our disclosure controls and procedures, as defined in Rules 13a-15(e) and 15d-15(e) under the Securities Exchange Act of 1934, as amended, as of March 31, 2017.</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purpose of this evaluation was to determine whether as of March 31, 2017 our disclosure controls and procedures were effective to provide reasonable assurance that the information we are required to disclose in our filings with the SEC, (i) is recorded, processed, summarized and reported within the time periods specified in the SEC’s rules and forms and (ii) accumulated and communicated to our management, including our Chief Executive Officer and Chief Financial Officer, as appropriate to allow timely decisions regarding required disclosure.</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their evaluation, our Chief Executive Officer and Chief Financial Officer have concluded that as of March 31, 2017, our disclosure controls and procedures were effective.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March 31, 2017 that have materially affected, or are reasonably likely to materially affect, our internal control over financial reporting.</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0" w:name="page21"/>
    <w:bookmarkEnd w:id="20"/>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 LEGAL PROCEEDINGS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nine intellectual property infringement lawsuits pending in the United States District Court for the Eastern District of Texas, Tyler Division, and United States Court of Appeals for the Federal Circuit (“USCAFC”).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VirnetX Inc. v. Apple, Inc. (Case 6:12-CV-00855-LED)</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On March 30, 2015, the United States Court for the Eastern District of Texas, Tyler Division, issued an order finding substantial overlap between the remanded portions of the Civil Action Case 6:10-CV-00417-LED (VirnetX vs. Cisco et. al.), and the ongoing Civil Action Case 6:12-CV-00855-LED (VirnetX Inc. v. Apple, Inc.). The court consolidated the two civil actions under Civil Action Case 6:12-CV-00855-LED (VirnetX Inc. v. Apple, Inc.) and designated it as the lead case. The jury trial in this case was held on January 25, 2016. On February 4, 2016, a jury in the United States Court for the Eastern District of Texas, Tyler Division, awarded us $625.6 million in a verdict against Apple Inc. for infringing four of our US patents, marking it the second time a federal jury has found Apple liable for infringing VirnetX’s patented technology. The verdict includes royalties awarded to us based on an earlier patent infringement finding </w:t>
      </w:r>
      <w:r>
        <w:rPr>
          <w:rFonts w:ascii="Times New Roman" w:cs="Times New Roman" w:eastAsia="Times New Roman" w:hAnsi="Times New Roman"/>
          <w:sz w:val="18"/>
          <w:szCs w:val="18"/>
          <w:b w:val="1"/>
          <w:bCs w:val="1"/>
          <w:color w:val="auto"/>
        </w:rPr>
        <w:t>(Case 6:10-CV-00417-LED)</w:t>
      </w:r>
      <w:r>
        <w:rPr>
          <w:rFonts w:ascii="Times New Roman" w:cs="Times New Roman" w:eastAsia="Times New Roman" w:hAnsi="Times New Roman"/>
          <w:sz w:val="18"/>
          <w:szCs w:val="18"/>
          <w:color w:val="auto"/>
        </w:rPr>
        <w:t xml:space="preserve"> against Apple. The jury found that Apple’s modified VPN On-Demand, iMessage and FaceTime services infringed VirnetX’s patents and that Apple’s infringement was willful. In addition to determining the royalty owed by Apple for its prior infringement, this verdict also includes an award based on the jury’s finding that Apple’s modified VPN On Demand, iMessage and FaceTime services have continued to infringe VirnetX’s patents. The post-trial hearing was held on May 25, 2016 in the United States Court for the Eastern District of Texas, Texarkana Division. On July 29, 2016, the court issued a new order, vacating its previous orders consolidating the cases (Case No. 6:10-cv-417, Docket No. 878 (“Apple I case”); Case No. 6:12-cv-855, Docket No. 220 (“Apple II case”)), ordering that the two cases be retried separately, and setting the retrial date for Apple I case with jury selection to begin on September 26, 2016. The court also ordered that the issue of willfulness in both cases is bifurcated and that the Apple II case will be retried after Apple I case. Events and developments subsequent to the order from the court are described to support Apple I and Apple II matters.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VirnetX Inc. v. Cisco Systems, Inc. et al. (Case 6:10-CV-00417-LED) (“Apple I”)</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11, 2010, we initiated a lawsuit by filing a complaint against Aastra USA. Inc. (“Aastra”), Apple, Cisco Systems, Inc. (“Cisco”), and NEC Corporation (“NEC”) in the United States District Court for the Eastern District of Texas, Tyler Division, pursuant to which we alleged that these parties infringe on certain of our patents. We sought damages and injunctive relief. Aastra and NEC agreed to sign license agreements with us and we agreed to drop all the accusations of infringement against them. At the pre-trial hearing, the judge decided to conduct separate jury trial for each defendant, and try only the case against Apple on the scheduled trial date. The jury trial of our case against Cisco was held on March 4, 2013. The jury in our case against Cisco came back with a verdict of non-infringement also determined that all our patents-in-suit patents are not invalid. Our motions for a new trial and Cisco’s infringement of certain VirnetX patents were denied and the case against Cisco was closed.</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jury trial of our case against Apple was held on October 31, 2012. On November 6, 2012, a jury in the United States Court for the Eastern District of Texas, Tyler Division, awarded us over $368 million in a verdict against Apple for infringing four of our patents. On February 26, 2013, the court issued its Memorandum Opinion and Order regarding post-trial motions resulting from the prior jury verdict denying Apple’s motion to reduce the damages awarded by the jury for past infringement. The Court further denied Apple’s request for a new trial on the liability and damages portions of the verdict and granted our motions for pre-judgment interest, post-judgment interest, and post-verdict damages to date. The Court ordered that Apple pay $34 thousand in daily interest up to final judgment and $330 thousand in daily damages for infringement up to final judgment for certain Apple devices included in the verdict. The Court denied our request for a permanent injunction and severed the future infringement portion into its own separate proceedings under Case 6:13-CV-00211-LED.</w:t>
      </w:r>
    </w:p>
    <w:p>
      <w:pPr>
        <w:spacing w:after="0" w:line="2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July 3, 2013, Apple filed an appeal of the judgment dated February 27, 2013 and order dated June 4, 2013 denying Apple’s motion to alter or amend the judgment to the USCAFC. On September 16, 2014, USCAFC issued their opinion, affirming the jury’s finding that all 4 of our patents are valid, confirming the jury’s finding of infringement of VPN on Demand under many of the asserted claims of our ‘135 and ‘151 patents, and confirming the district’s court’s decision to allow evidence concerning our licenses and royalty rates in connection with the determination of damages. In its opinion, the USCAFC also vacated the jury’s damages award and the district court’s claim construction with respect to parts of our ‘504 and ‘211 patents and remanded the damages award and determination of infringement with respect to FaceTime –for further proceedings consistent with its opinion. On October 16, 2014, we filed a petition with the USCAFC, requesting a rehearing and rehearing en banc of the Federal Circuit’s September 14, 2014, decision concerning VirnetX’s litigation against Apple Inc. On December 16, 2014, USCAFC denied our petition requesting a rehearing and rehearing en banc of the Federal Circuit’s September 14, 2014, decision and remanded the case back to the Eastern District of Texas, Tyler Division, for further proceedings consistent with its opinion. On February 25, 2015, USCAFC granted Apple’s motions to lift stay of proceedings and vacate Case 6:13-CV-00211-LED. On March 30, 2015, the court issued an order finding substantial overlap between the remanded portions of this case and the ongoing Civil Action Case 6:12-CV-00855-LED (VirnetX Inc. v. Apple, Inc.). The court consolidated the two civil actions under Civil Action Case 6:12-CV-00855-LED (VirnetX Inc. v. Apple, Inc.) and designated it as the lead case.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1" w:name="page22"/>
    <w:bookmarkEnd w:id="21"/>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29, 2016, the court issued a new order, vacating its previous orders consolidating the cases Apple I case and Apple II case, ordering that the two cases be retried separately, and setting the retrial date for Apple I case with jury selection to begin on September 26, 2016. The court also ordered that the issue of willfulness in both cases is bifurcated and that the Apple II will be retried after Apple I case. The jury trial in this case was held on September 26, 2016. On September 30, 2016, a Jury in the United States Court for the Eastern District of Texas, Tyler Division, in the case VirnetX Inc., et al. v. Apple Inc., No. Apple I, has awarded VirnetX $302.4 million in a verdict against Apple for infringing four VirnetX patents, marking the third time a federal jury has found Apple liable for infringing VirnetX’s patented technology.</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verdict includes royalties awarded to VirnetX, for unresolved issues in the Apple I case, remanded back from the USCAFC, related to (1) damages owed to VirnetX for infringement by Apple’s original VPN-on-Demand (VOD) and (2) the alleged infringement by Apple’s original FaceTime product, under the new claim construction of “secure communication link” pertaining to the ’504 and ’211 patents by the USCAFC, and the damages associated with that infringement. The hearing on all the post-trial motions was held on November 22, 2016. We are currently awaiting the court ruling and final judgement in this case.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VirnetX Inc. v. Apple, Inc. (Case 6:12-CV-00855-LED) (“Apple II”)</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November 6, 2012, we filed a new complaint against Apple in the United States District Court for the Eastern District of Texas, Tyler Division for willfully infringing four of our patents, U.S. Patent Nos. 6,502,135, 7,418,504, 7,921,211 and 7,490,151, and seeking both an unspecified amount of damages and injunctive relief. The accused products include the iPhone 5, iPod Touch 5th Generation, iPad 4th Generation, iPad mini, and the latest Macintosh computers. Due to their release dates, these products were not included in the previous lawsuit that concluded with a Jury verdict on November 6, 2012 that was subsequently upheld by the United States District Court for the Eastern District of Texas, Tyler Division, on February 26, 2013. On July 1, 2013, we filed a consolidated and amended complaint to include U.S. Patent No. 8,051,181 and consolidate Civil Action No. 6:11-cv-00563-LED. On August 27, 2013, we filed an amended complaint including allegations of willful infringement related to U.S. Patent No. 8,504,697 seeking both damages and injunctive relief. The Markman hearing in this case was held on May 20, 2014 and on August 8, 2014, issued its Markman Order, denying Apple’s motion for summary judgment of indefiniteness, in which Apple alleged that some of the disputed claims terms in the patents asserted by us were invalid for indefiniteness. In a separate order, the court granted in part and denied in part our motion for partial summary judgment on Apple’s invalidity counterclaims, precluding Apple from asserting invalidity as a defense against infringement of the claims that were tried before a jury in our prior litigation against Apple (VirnetX vs. Cisco et. al., Case 6:10-CV-00417-LED). The jury trial in this case was scheduled for October 13, 2015. On March 30, 2015, the court issued an order finding substantial overlap between this case and the remanded portions of Case 6:10-CV-00417-LED (VirnetX vs. Cisco et. al.). The court consolidated the two civil actions under Civil Action Case 6:12-CV-00855-LED (VirnetX Inc. v. Apple, Inc.) and designated it as the lead case. On July 29, 2016, the court issued a new order, vacating its previous orders consolidating the cases Apple I case and Apple II case, ordering that the two cases be retried separately, and setting the retrial date for Apple I case with jury selection to begin on September 26, 2016. The court also ordered that the issue of willfulness in both cases is bifurcated and that the Apple II will be retried after Apple I case. We are awaiting court order setting the date for a new jury trial in Apple II case.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VirnetX Inc. v. Apple, Inc. (Case 15-1934)</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10, 2015, we filed appeals with the USCAFC, appealing the invalidity findings by the United States Patent and Trademark Office, Patent Trial and Appeal Board (“PTAB”) in IPR2014-00237 and IPR2014-00238, related to U.S. Patent No. 8,504,697. The oral arguments in this case were heard on November 7, 2016. On December 9, 2016, the USCAFC affirmed the PTAB based on the grounds discussed in IPR2014-00238. We are currently evaluating our options in this case.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VirnetX Inc. v. Apple, Inc. (Case 16-1211)</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28, 2015, we filed appeals with the USCAFC, appealing the invalidity findings by the PTAB in IPR2014-00403 and IPR2014-00404 and on October 22, 2015 for IPR2014-00481 and IPR2014-00482 involving our U.S. Patent Nos. 7,188,180, and 7,987,274. The oral arguments in this case were heard on November 7, 2016. On December 9, 2016, the USCAFC affirmed the PTAB based on the grounds discussed in IPR2014-00403 and IPR2014-00481. We are currently evaluating our options in this case.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VirnetX Inc. v. Apple, Inc. (Case 16-1480)</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30, 2015, we filed appeals with the USCAFC, appealing the invalidity findings by the PTAB in inter-partes reexamination no. 95/001,949 related to U.S. Patent No. 8,051,181. The oral arguments in this case were heard on November 7, 2016. On December 9, 2016, the USCAFC affirmed the PTAB based on certain grounds. We are currently evaluating our options in this case.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VirnetX Inc. v. Apple, Inc. (case 16-119)</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4, 2016, we filed a petition for writ of mandamus with the USCAFC, requesting the USCAFC’s intervention to revoke the PTAB’s decision joining Apple to IPR2015-01046 and IPR2015-01047, related to U.S. Patent Nos. 6,502,135 and 7,490,151. On March 18, 2016, the USCAFC denied the petition without prejudice to us raising the arguments on appeal after the PTAB’s final decisions. We are currently evaluating our options in this case.</w:t>
      </w:r>
    </w:p>
    <w:p>
      <w:pPr>
        <w:sectPr>
          <w:pgSz w:w="11900" w:h="16838" w:orient="portrait"/>
          <w:cols w:equalWidth="0" w:num="1">
            <w:col w:w="11420"/>
          </w:cols>
          <w:pgMar w:left="240" w:top="115" w:right="239"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type w:val="continuous"/>
        </w:sectPr>
      </w:pPr>
    </w:p>
    <w:bookmarkStart w:id="22" w:name="page23"/>
    <w:bookmarkEnd w:id="22"/>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VirnetX Inc. v. Apple, Inc. (Case 17-1131)</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31, 2016, we filed appeals with the USCAFC, appealing the invalidity findings by the PTAB in IPR2015-00810, IPR2015-00812, on November 9, 2016 for IPR2015-00811, and on November 28, 2016 for IPR2015-00866, IPR2015-00868, IPR2015-00870, IPR2015-00871 involving our U.S. Patent Nos.8,868,705, 8,850,009, 8,458,341, 8,516,131, and 8,560,705. These appeals have been consolidated.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VirnetX Inc. v. The Mangrove Partners (Case 17-1368)</w:t>
      </w:r>
    </w:p>
    <w:p>
      <w:pPr>
        <w:spacing w:after="0" w:line="25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December 16, 2016, we filed appeals with the USCAFC, appealing the invalidity findings by the PTAB in IPR2015-01046, and on December 20, 2016 for IPR2015-1047, involving our U.S. Patent Nos. 6,502,135, and 7,490,151. These appeals also involve Apple, Inc. and one of them involves Black Swamp IP, LLC.</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One or more potential intellectual property infringement claims may also be available to us against certain other companies who have the resources to defend against any such claims. Although we believe these potential claims are worth pursuing, commencing a lawsuit can be expensive and time-consuming, and there is no assurance that we will prevail on such potential claims. In addition, bringing a lawsuit may lead to potential counterclaims which may preclude our ability to commercialize our initial products, which are currently in development. Currently, we are not a party to any other pending legal proceedings, and are not aware of any proceeding threatened or contemplated against us by any governmental authority or other party.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3" w:name="page24"/>
    <w:bookmarkEnd w:id="23"/>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 RISK FACTORS</w:t>
      </w:r>
    </w:p>
    <w:p>
      <w:pPr>
        <w:spacing w:after="0" w:line="2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Our operations and financial results are subject to various risks and uncertainties, including those described below, which could adversely affect our business, financial condition, results of operations, cash flows, and the trading price of our common and capital stock. You should carefully consider the following material risks in addition to the other information set forth in this Quarterly Report on Form 10-Q, as well as our Annual Form 10-K filed March 16, 2017 before making any investment in our common stock. The risks and uncertainties described below are not the only ones we face. Additional risks and uncertainties not presently known to us or that we currently believe to be immaterial may also adversely affect our business. If any of these risk factors occur, you could lose substantial value or your entire investment in our shares</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Our Financial Reporting</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involved and will continue to be involved in litigation defending our patent portfolio, which can be time-consuming and costly and we cannot anticipate the results.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spend a significant amount of our financial and management resources to pursue our current litigation. We believe that this litigation and others that we may pursue in the future could continue for years and consume significant financial and management resources. The counterpart to our litigation includes large, well-financed companies with substantially greater resources than us. We cannot assure you that any of our current or future litigation matters will result in a favorable outcome for us. In addition, even if we obtain favorable interim rulings or verdicts, they may be inconsistent with the ultimate resolution of the dispute. Also, we cannot assure you that we will not be exposed to claims or sanctions against us which may be costly or impossible for us to defend. Unfavorable or adverse outcomes may result in losses, exhaustion of financial resources or other adverse effects, which could encumber our ability to develop and commercialize our products.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additional capital to support our business growth, and this capital will be dilutive, may cause our stock price to drop or may not be available on acceptable terms, if at all.</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seek additional capital to support our business growth or to respond to business opportunities, challenges or unforeseen circumstances, including sales under our ATM or our Universal Shelf Registration Statement. Our ability to obtain additional capital, if and when required, will depend on our business plans, investor demand, our operating performance, the condition of the capital markets, the terms of our current contractual obligations and other factors. If we raise additional funds through the issuance of equity, equity-linked or debt securities, including those under our ATM or our Universal Shelf Registration Statement, those securities may have rights, preferences, or privileges senior to the rights of our common stock, and our existing stockholders may experience dilution. Additionally, we are unable to predict the success of our current ATM offering. Sales of a substantial number of shares of our common stock in the public market, the perception that these sales or other financings might occur, could depress the market price of our common stock and could also impair our ability to raise capital through the sale of additional equity securities. If we issue debt securities or incur indebtedness, the incurrence of indebtedness would result in increased fixed payment obligations and could also result in restrictive covenants, such as limitations on our ability to incur additional debt, limitations on our ability to acquire, sell or license intellectual property rights and other operating restrictions that could adversely impact our ability to conduct our business. If we are unable to obtain additional capital, or are unable to obtain additional capital on satisfactory terms, our ability to continue to support our business growth or to respond to business opportunities, challenges, or other circumstances could be adversely affected, and our business may be harmed.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capitalize on market opportunities related to our licensing strategy or our patent portfolio.</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strategy includes licensing our patents and technology to other companies in order to reach a larger end-user base than we could reach through direct sales and marketing efforts; as such, our business strategy and revenues will depend on intellectual property licensing fees and royalties for the majority of our revenues. We currently derive minimal revenue from licensing activities and we cannot assure you that we will successfully capitalize on our market opportunities or that our current business strategy will succeed. Factors that may affect our ability to execute our current business strategy include, but are not limited to, the following:</w:t>
      </w:r>
    </w:p>
    <w:p>
      <w:pPr>
        <w:spacing w:after="0" w:line="211" w:lineRule="exact"/>
        <w:rPr>
          <w:sz w:val="20"/>
          <w:szCs w:val="20"/>
          <w:color w:val="auto"/>
        </w:rPr>
      </w:pPr>
    </w:p>
    <w:p>
      <w:pPr>
        <w:jc w:val="both"/>
        <w:ind w:left="980" w:right="80" w:hanging="648"/>
        <w:spacing w:after="0" w:line="266"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to date we have entered into a limited number of settlement and license agreements, we may not be successful in entering into further licensing relationships, or if we are successful in entering into such relationships, the acquisition of them may be expensive, and they, as well as our existing settlement and license agreements may not generate the financial results we expect;</w:t>
      </w:r>
    </w:p>
    <w:p>
      <w:pPr>
        <w:spacing w:after="0" w:line="203"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challenge the validity of our patents;</w:t>
      </w:r>
    </w:p>
    <w:p>
      <w:pPr>
        <w:spacing w:after="0" w:line="252"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pendency of our various litigations may cause potential licensees not to do business with us;</w:t>
      </w:r>
    </w:p>
    <w:p>
      <w:pPr>
        <w:spacing w:after="0" w:line="252" w:lineRule="exact"/>
        <w:rPr>
          <w:rFonts w:ascii="Times New Roman" w:cs="Times New Roman" w:eastAsia="Times New Roman" w:hAnsi="Times New Roman"/>
          <w:sz w:val="18"/>
          <w:szCs w:val="18"/>
          <w:color w:val="auto"/>
        </w:rPr>
      </w:pPr>
    </w:p>
    <w:p>
      <w:pPr>
        <w:ind w:left="980" w:right="380" w:hanging="648"/>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and we expect to continue to face, intense competition from new and established competitors who may have superior products and services or better marketing, financial or other capacities than we do; and</w:t>
      </w:r>
    </w:p>
    <w:p>
      <w:pPr>
        <w:spacing w:after="0" w:line="188" w:lineRule="exact"/>
        <w:rPr>
          <w:rFonts w:ascii="Times New Roman" w:cs="Times New Roman" w:eastAsia="Times New Roman" w:hAnsi="Times New Roman"/>
          <w:sz w:val="18"/>
          <w:szCs w:val="18"/>
          <w:color w:val="auto"/>
        </w:rPr>
      </w:pPr>
    </w:p>
    <w:p>
      <w:pPr>
        <w:ind w:left="980" w:right="680" w:hanging="648"/>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one or more of our potential customers or licensees develops or otherwise sources products or technologies similar to, competitive with or superior to ours.</w:t>
      </w:r>
    </w:p>
    <w:p>
      <w:pPr>
        <w:sectPr>
          <w:pgSz w:w="11900" w:h="16838" w:orient="portrait"/>
          <w:cols w:equalWidth="0" w:num="1">
            <w:col w:w="11420"/>
          </w:cols>
          <w:pgMar w:left="240" w:top="115" w:right="239"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type w:val="continuous"/>
        </w:sectPr>
      </w:pPr>
    </w:p>
    <w:bookmarkStart w:id="24" w:name="page25"/>
    <w:bookmarkEnd w:id="24"/>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not able to adequately protect our patent rights, our business would be negatively impacted.</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believe our patents are valid, enforceable and valuable. Notwithstanding this belief, third parties may make claims of infringement or invalidity claims with respect to our patents and such claims could give rise to material cost for defense or settlement or both, jeopardize or substantially delay a successful outcome of litigation we are or may become involved in, divert resources away from our other activities, limit or cease our revenues related to such patents, or otherwise materially and adversely affect our business. Similar challenges could also prevent us from obtaining additional patents in the future. Additionally, several of our patents are currently, and other patents may in the future be, subject to USPTO post-grant inter partes review proceedings (“IPR”) which may result in all or part of these patents being invalidated or the claims of our patents being limited. Unfavorable or adverse outcomes in our litigation or IPRs may result in losses, exhaustion of financial resources, reduction in our ability to enforce our intellectual property rights, or other adverse effects, which could encumber our ability to develop and commercialize our products. Even if we are successful in enforcing our intellectual property rights, our patents may not ultimately provide us with any competitive advantages and may be less valuable than we currently expect. These risks may be heightened in countries other than the United States where laws regarding patent protection are less developed, and may be negatively affected by the fact that legal standards in the United States and elsewhere for protection of intellectual property rights in Internet-related businesses are uncertain and still evolving. In addition, there are a significant number of United States and foreign patents and patent applications in our areas of interest, and we expect that significant litigation in these areas will continue, and will add uncertainty to the value of certain patents and other intellectual property rights in our areas of interest. If we are unable to protect our intellectual property rights or otherwise realize value from them, our business would be negatively affected.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 provide no assurances that the licensing of our essential security patents under FRAND will be successful.</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the request of the European Telecommunications Standards Institute or “ETSI”, and the Alliance for Telecommunications Industry Solutions or “ATIS”, we agreed to update our licensing declaration to ETSI and ATIS under their respective Intellectual Property Rights or “IPR” policies. This was in response to our Statement of Patent Holder identifying a group of our patents and patent applications that we believe are or may become essential to certain developing specifications in the 3rd Generation Partnership Project (3GPP) Long Term Evolution or “LTE”, Systems Architecture Evolution or “SAE” project. We will make available a non-exclusive patent license under FRAND (fair, reasonable and non-discriminatory terms and conditions, with compensation) for the patents identified by us that are or become essential, to applicants desiring to implement the Technical Specifications identified by us, as set forth in the updated licensing declaration under the ATIS and ETSI IPR policies. Our licensing declarations under the ATIS and ETSI IPR policies may limit our flexibility in determining royalties and license terms for certain of our patents. Consequently, we cannot assure you that the licensing of the essential security patents will be successful or that third parties will be willing to enter into licenses with us on reasonable terms or at all, which could have an adverse effect on our business and harm our competitive position.</w:t>
      </w:r>
    </w:p>
    <w:p>
      <w:pPr>
        <w:spacing w:after="0" w:line="1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our business is conducted or expected to be conducted in an environment that is subject to rapid change, we may be subject to various developments in regulation, law and consumer preferences to which we may not be able to adapt successfully.</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current regulatory environment for our products and services remains unclear. We can give no assurance that our planned product offerings will be in compliance with laws and regulations of local, state, United States federal or foreign authorities. Further, we can give no assurance that we will not unintentionally violate such laws or regulations or that such laws or regulations will not be modified, or that new laws or regulations will be enacted in the future which would cause us to be in violation of such laws or regulations. For example, Voice-Over-Internet Protocol or “VoIP” services are not currently subject to all of the same regulations that apply to traditional telephony, but it is possible that similar regulations may be applied to VoIP in the future and that these could result in substantial costs to us which could adversely affect the marketability of our products and planned products related to VoIP. For further example, the use of the Internet and private Internet Protocol or “IP” networks for communication is largely unregulated within the United States, but may become regulated in the future; also, several foreign governments have enacted measures that could restrict or prohibit voice communications services over the Internet or private IP networks.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depends on the growth of instant messaging, VoIP, mobile services, streaming video, file transfer and remote desktop and other next-generation Internet-based applications. A decline in the use of these applications due to complexity or cost of these applications relative to alternate traditional or newly developed communications channels, or development of alternative technologies, could cause a material decline in the number of users in these areas.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More aggressive domestic or international regulation of the Internet in general, and Internet telephony providers and services specifically may materially and adversely affect our business, financial condition, operating results and future prospects.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exposure to outside influences beyond our control, including new legislation, court rulings or actions by the United States Patent and Trademark Office, could adversely affect our licensing and enforcement activities and results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licensing and enforcement activities are subject to numerous risks from outside influences, including the following:</w:t>
      </w:r>
    </w:p>
    <w:p>
      <w:pPr>
        <w:spacing w:after="0" w:line="252" w:lineRule="exact"/>
        <w:rPr>
          <w:sz w:val="20"/>
          <w:szCs w:val="20"/>
          <w:color w:val="auto"/>
        </w:rPr>
      </w:pPr>
    </w:p>
    <w:p>
      <w:pPr>
        <w:ind w:left="980" w:right="160" w:hanging="648"/>
        <w:spacing w:after="0" w:line="256"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legislation, regulations or rules related to obtaining patents or enforcing patents could significantly increase our operating costs and decrease our revenue. For instance, the United States Supreme Court has recently modified some tests used by the United States Patent and Trademark Office or “USPTO” in granting patents during the past 20 years which may decrease the likelihood that we will be able to obtain patents and increase the likelihood of challenge of any patents we obtain or license. In addition, the United States recently enacted sweeping changes to the United States patent system under the Leahy-Smith America Invents Act or “AIA”, including changes that transition the United States from a “first-to-invent” system to a “first to file” system and alter the processes for challenging issued patents.</w:t>
      </w:r>
    </w:p>
    <w:p>
      <w:pPr>
        <w:spacing w:after="0" w:line="214"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patent applications are filed each year resulting in longer delays in getting patents issued by the USPTO.</w:t>
      </w:r>
    </w:p>
    <w:p>
      <w:pPr>
        <w:sectPr>
          <w:pgSz w:w="11900" w:h="16838" w:orient="portrait"/>
          <w:cols w:equalWidth="0" w:num="1">
            <w:col w:w="11420"/>
          </w:cols>
          <w:pgMar w:left="240" w:top="115" w:right="2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type w:val="continuous"/>
        </w:sectPr>
      </w:pPr>
    </w:p>
    <w:bookmarkStart w:id="25" w:name="page26"/>
    <w:bookmarkEnd w:id="25"/>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ind w:left="980" w:hanging="648"/>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courts are becoming more crowded, and as a result, patent enforcement litigation is taking longer.</w:t>
      </w:r>
    </w:p>
    <w:p>
      <w:pPr>
        <w:spacing w:after="0" w:line="252"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patent enforcement becomes more prevalent, it may become more difficult for us to voluntarily license our patents.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experience security breaches, we could be exposed to liability and our reputation and business could suffer.</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expect to retain certain confidential and proprietary customer information in our secure data centers and secure domain name registry, as well as personal data and other confidential and proprietary information relating to our business. It will be critical to our business strategy that our facilities and infrastructure remain secure and are perceived by the marketplace to be secure. Our secure domain name registry operations will also depend on our ability to maintain our computer and telecommunications equipment in effective working order and to reasonably protect our systems against interruption, and potentially depend on protection by other registrars in the shared registration system. The secure domain name servers that we will operate will be critical hardware to our registry services operations. Therefore, we expect to have to expend significant time and money to maintain or increase the security of our products, facilities and infrastructure. Security technologies are constantly being tested by computer professionals, academics and “hackers.” Advances in computer capabilities and the techniques for attacking security solutions, new discoveries in the field of cryptography or other events or developments could result in compromises or breaches of our security measures and could make some or all our products obsolete or unmarketable. Likewise, if any of our products are found to have significant security vulnerabilities, then we may need to dedicate engineering and other resources to eliminate the vulnerabilities and to repair or replace products already sold or licensed to our customers. Despite our security measures, our infrastructure may be vulnerable to physical break-ins, computer viruses, attacks by hackers or similar disruptive problems. It is possible that we may have to expend additional financial and other resources to address such problems. Any physical or electronic break-in or other security breach or compromise of the information stored at our secure data centers and domain name registration systems, including any compromise due to human error or employee or contractor malfeasance, may jeopardize the security of information stored on our premises or in the computer systems and networks of our customers. In such an event, we could face significant liability and customers could be reluctant to use our services. Additionally, any such data security incident, or the perception that one has occurred could also result in adverse publicity and therefore adversely affect the market’s perception of the security of electronic commerce and communications over IP networks as well as the security or reliability of our services.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security breach could require a substantial level of financial resources to rectify and could result in a claim and investigation that cause us to incur substantial fines, penalties, or other liability and related legal and other costs. Any actual or perceived security breach may also harm our reputation and make it more difficult or impossible for us to successfully market to others. Any of the foregoing matters could harm our operating results and financial condition.</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Privacy and data security concerns, and data collection and transfer restrictions and related domestic or foreign regulations may limit the use and adoption of our solutions and adversely affect our business.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Personal privacy, information security, and data protection are significant issues in the United States, Europe and many other jurisdictions where we have operations or offer our products. The regulatory framework governing the collection, processing, storage and use of confidential and proprietary business information and personal data is rapidly evolving. The U.S. federal and various state and foreign governments have adopted or proposed requirements regarding the collection, distribution, use, security and storage of personally identifiable information and other data relating to individuals, and federal and state consumer protection laws are being applied to enforce regulations related to the online collection, use and dissemination of data.</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 many foreign countries and governmental bodies, including the European Union, or EU, where we conduct business, have laws and regulations concerning the collection and use of personal data obtained from their residents or by businesses operating within their jurisdiction. These laws and regulations often are more restrictive than those in the United States. Laws and regulations in these jurisdictions apply broadly to the collection, use, storage, disclosure and security of data that identifies or may be used to identify or locate an individual, such as names, email addresses and, in some jurisdictions, Internet Protocol, or IP, addresses.</w:t>
      </w:r>
    </w:p>
    <w:p>
      <w:pPr>
        <w:spacing w:after="0" w:line="1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also expect that there will continue to be new proposed laws, regulations and industry standards concerning privacy, data protection and information security in the United States, the EU, and other jurisdictions. For example, the European Commission recently adopted a General Data Protection Regulation, effective in May 2018, that will supersede current EU data protection legislation, impose more stringent EU data protection requirements, and provide for greater penalties for noncompliance. We cannot yet determine the impact such future laws, regulations and standards may have on our business. Such laws and regulations are often subject to differing interpretations, may be inconsistent among jurisdictions, and may be alleged to be inconsistent with our current or future practices. Additionally, we may be bound by contractual requirements applicable to our collection, use, processing, and disclosure of various types of data, including personal data, and may be bound by, or voluntarily comply with, self-regulatory or other industry standards relating to these matters. These and other requirements could reduce demand for our products, increase our costs, impair our ability to grow our business, or restrict our ability to store and process data or, in some cases, impact our ability to offer our service in some locations and may subject us to liability. Any failure or perceived failure to comply with applicable laws, regulations, industry standards, and contractual obligations may adversely affect our business. Further, in view of new or modified federal, state or foreign laws and regulations, industry standards, contractual obligations and other legal obligations, or any changes in their interpretation, we may find it necessary or desirable to fundamentally change our business activities and practices or to expend significant resources to modify our product and otherwise adapt to these changes. We may be unable to make such changes and modifications in a commercially reasonable manner or at all, and our ability to develop new products and features could be limited.</w:t>
      </w:r>
    </w:p>
    <w:p>
      <w:pPr>
        <w:spacing w:after="0" w:line="19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costs of compliance with and other burdens imposed by laws, regulations and standards may limit the use and adoption of our service and reduce overall demand for it, or lead to significant fines, penalties or liabilities for any noncompliance. Privacy, information security, and data protection concerns, whether valid or not valid, may inhibit market adoption of our platform, particularly in certain industries and foreign countries.</w:t>
      </w:r>
    </w:p>
    <w:p>
      <w:pPr>
        <w:sectPr>
          <w:pgSz w:w="11900" w:h="16838" w:orient="portrait"/>
          <w:cols w:equalWidth="0" w:num="1">
            <w:col w:w="11420"/>
          </w:cols>
          <w:pgMar w:left="240" w:top="115" w:right="239" w:bottom="1440" w:gutter="0" w:footer="0" w:header="0"/>
        </w:sect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type w:val="continuous"/>
        </w:sectPr>
      </w:pPr>
    </w:p>
    <w:bookmarkStart w:id="26" w:name="page27"/>
    <w:bookmarkEnd w:id="26"/>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expect that we will experience long and unpredictable sales cycles, which may impact our operating results.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that our sales cycles will be long and unpredictable due to several factors, including but not limited to:</w:t>
      </w:r>
    </w:p>
    <w:p>
      <w:pPr>
        <w:spacing w:after="0" w:line="252" w:lineRule="exact"/>
        <w:rPr>
          <w:sz w:val="20"/>
          <w:szCs w:val="20"/>
          <w:color w:val="auto"/>
        </w:rPr>
      </w:pPr>
    </w:p>
    <w:p>
      <w:pPr>
        <w:ind w:left="980" w:hanging="648"/>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educate potential customers about our patent rights and our product and service capabilities;</w:t>
      </w:r>
    </w:p>
    <w:p>
      <w:pPr>
        <w:spacing w:after="0" w:line="252" w:lineRule="exact"/>
        <w:rPr>
          <w:rFonts w:ascii="Times New Roman" w:cs="Times New Roman" w:eastAsia="Times New Roman" w:hAnsi="Times New Roman"/>
          <w:sz w:val="18"/>
          <w:szCs w:val="18"/>
          <w:color w:val="auto"/>
        </w:rPr>
      </w:pPr>
    </w:p>
    <w:p>
      <w:pPr>
        <w:ind w:left="980" w:right="700" w:hanging="648"/>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willingness to invest potentially substantial resources and modify their network infrastructures to take advantage of our products;</w:t>
      </w:r>
    </w:p>
    <w:p>
      <w:pPr>
        <w:spacing w:after="0" w:line="188"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budgetary constraints;</w:t>
      </w:r>
    </w:p>
    <w:p>
      <w:pPr>
        <w:spacing w:after="0" w:line="252"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customers’ budget cycles;</w:t>
      </w:r>
    </w:p>
    <w:p>
      <w:pPr>
        <w:spacing w:after="0" w:line="252"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caused by customers’ internal review processes; and</w:t>
      </w:r>
    </w:p>
    <w:p>
      <w:pPr>
        <w:spacing w:after="0" w:line="252"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 sales cycles that may increase the risk that our financial resources are exhausted before we are able to generate significant revenue.</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expand our revenue sources or establish, sustain, grow or replace relationships with a diversified customer base, our revenues may be limited.</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currently generate revenue from a limited number of customers that have entered into Settlement and License Agreements. Although our GABRIEL Collaboration Suite is not currently generating revenue, it will take time for us to grow our installed user base and generate new customers. Additionally, there is no guarantee that we will be able to derive revenue from new customers, sustain or increase revenue from existing customers or replace customers from whom we currently generate revenue. As a result, our revenue may be limited or static.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technical resources and are at an early stage in the development and commercialization of our GABRIEL Collaboration Suite.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currently have only one commercial product, the GABRIEL Collaboration Suite. As such, we have a small technical team, which may limit our ability to rapidly adapt our product to customer requirements or add new product features to maintain our competitive edge and drive adoption. Based on the scale of our technical resources, our limited historical financial data upon which to base our projected revenue or planned operating expenses related to our GABRIEL Collaboration Suite, we may not be able to effectively:</w:t>
      </w:r>
    </w:p>
    <w:p>
      <w:pPr>
        <w:spacing w:after="0" w:line="207" w:lineRule="exact"/>
        <w:rPr>
          <w:sz w:val="20"/>
          <w:szCs w:val="20"/>
          <w:color w:val="auto"/>
        </w:rPr>
      </w:pPr>
    </w:p>
    <w:p>
      <w:pPr>
        <w:ind w:left="980" w:hanging="648"/>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 revenues or profit from product sales;</w:t>
      </w:r>
    </w:p>
    <w:p>
      <w:pPr>
        <w:spacing w:after="0" w:line="252"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 adoption of our products;</w:t>
      </w:r>
    </w:p>
    <w:p>
      <w:pPr>
        <w:spacing w:after="0" w:line="252"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customers for our products;</w:t>
      </w:r>
    </w:p>
    <w:p>
      <w:pPr>
        <w:spacing w:after="0" w:line="252"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appropriate levels of customer training and support for our products;</w:t>
      </w:r>
    </w:p>
    <w:p>
      <w:pPr>
        <w:spacing w:after="0" w:line="252"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an effective marketing strategy to promote awareness of our products;</w:t>
      </w:r>
    </w:p>
    <w:p>
      <w:pPr>
        <w:spacing w:after="0" w:line="252"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 our research and development efforts in areas that generate returns on our efforts;</w:t>
      </w:r>
    </w:p>
    <w:p>
      <w:pPr>
        <w:spacing w:after="0" w:line="252"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and adapt to changes in our market; or</w:t>
      </w:r>
    </w:p>
    <w:p>
      <w:pPr>
        <w:spacing w:after="0" w:line="252"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our products from any system failures or other breaches.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a high percentage of our expenses are and will continue to be fixed. Accordingly, if we do not generate revenue as and when anticipated, our losses may be greater than expected and our operating results will suffer.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products are highly technical and may contain undetected errors, which could cause harm to our reputation and adversely affect our business.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products are highly technical and complex and, when deployed, may contain errors or defects. Despite testing, some errors in our products may only be discovered after a product has been installed and used by customers. Any errors or defects discovered in our products after commercial release could result in failure to achieve market acceptance, loss of revenue or delay in revenue recognition, loss of customers and increased service and warranty cost, any of which could adversely affect our business, operating results and financial condition. In addition, we could face claims for product liability, tort or breach of warranty, including claims relating to changes to our products made by our channel partners. The performance of our products could have unforeseen or unknown adverse effects on the networks over which they are delivered as well as on third-party applications and services that utilize our services, which could result in legal claims against us, harming our business. Furthermore, we expect to provide implementation, consulting and other technical services in connection with the implementation and ongoing maintenance of our products, which typically involves working with sophisticated software, computing and communications systems. We expect that our contracts with customers will contain provisions relating to warranty disclaimers and liability limitations, which may not be upheld. Defending a lawsuit, regardless of its merit, is costly and may divert management’s attention and adversely affect the market’s perception of us and our products. In addition, if our business liability insurance coverage proves inadequate or future coverage is unavailable on acceptable terms or at all, our business, operating results and financial condition could be adversely impacted.</w:t>
      </w:r>
    </w:p>
    <w:p>
      <w:pPr>
        <w:sectPr>
          <w:pgSz w:w="11900" w:h="16838" w:orient="portrait"/>
          <w:cols w:equalWidth="0" w:num="1">
            <w:col w:w="11420"/>
          </w:cols>
          <w:pgMar w:left="240" w:top="115" w:right="239" w:bottom="816"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816" w:gutter="0" w:footer="0" w:header="0"/>
          <w:type w:val="continuous"/>
        </w:sectPr>
      </w:pPr>
    </w:p>
    <w:bookmarkStart w:id="27" w:name="page28"/>
    <w:bookmarkEnd w:id="27"/>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Malfunctions of third-party communications infrastructure, hardware and software expose us to a variety of risks that we cannot control.</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will depend upon, among other things, the capacity, reliability and security of the infrastructure owned by third parties that we will use to deploy our offerings. We have no control over the operation, quality or maintenance of a significant portion of that infrastructure or whether or not those third parties will upgrade or improve their equipment. We depend on these companies to maintain the operational integrity of our connections. If one or more of these companies is unable or unwilling to supply or expand its levels of service to us in the future, our operations could be severely interrupted. Also, to the extent that the number of users of networks utilizing our current or future products suddenly increases, the technology platform and secure hosting services which will be required to accommodate a higher volume of traffic may result in slower response times or service interruptions. System interruptions or increases in response time could result in a loss of potential or existing users and, if sustained or repeated, could reduce the appeal of the networks to users. In addition, users depend on real-time communications; outages caused by increased traffic could result in delays and system failures. These types of occurrences could cause users to perceive that our solution does not function properly and could therefore adversely affect our ability to attract and retain licensees, strategic partners and customers.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System failure or interruption or our failure to meet increasing demands on our systems could harm our business.</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success of our license and service offerings will depend on the uninterrupted operation of various systems, secure data centers and other computer and communication networks that we establish. To the extent the number of users of networks utilizing our future products suddenly increases, the technology platform and hosting services which will be required to accommodate a higher volume of traffic may result in slower response times, service interruptions or delays or system failures. Our systems and operations will also be vulnerable to damage or interruption from, among other things:</w:t>
      </w:r>
    </w:p>
    <w:p>
      <w:pPr>
        <w:spacing w:after="0" w:line="207" w:lineRule="exact"/>
        <w:rPr>
          <w:sz w:val="20"/>
          <w:szCs w:val="20"/>
          <w:color w:val="auto"/>
        </w:rPr>
      </w:pPr>
    </w:p>
    <w:p>
      <w:pPr>
        <w:ind w:left="980" w:hanging="648"/>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loss, transmission cable cuts and other telecommunications failures;</w:t>
      </w:r>
    </w:p>
    <w:p>
      <w:pPr>
        <w:spacing w:after="0" w:line="252"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or interruption caused by fire, earthquake, and other natural disasters;</w:t>
      </w:r>
    </w:p>
    <w:p>
      <w:pPr>
        <w:spacing w:after="0" w:line="252"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 viruses or software defects; and</w:t>
      </w:r>
    </w:p>
    <w:p>
      <w:pPr>
        <w:spacing w:after="0" w:line="252"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physical or electronic break-ins, sabotage, intentional acts of vandalism, terrorist attacks and other events beyond our control.</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System interruptions or failures and increases or delays in response time could result in a loss of potential or existing users and, if sustained or repeated, could reduce the appeal of the networks to users. These types of occurrences could cause users to perceive that our solution does not function properly and could therefore adversely affect our ability to attract and retain licensees, strategic partners and customers.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significant problem with our systems or operations could result in lost revenue, customer dissatisfaction or lawsuits against us. A failure in the operation of our secure domain name registration system could result in the inability of one or more registrars to register and maintain secure domain names for a period of time. A failure in the operation or update of the master directory that we plan to maintain could result in deletion or discontinuation of assigned secure domain names for a period of time. The inability of the registrar systems we establish, including our back-office billing and collections infrastructure, and telecommunications systems to meet the demands of an increasing number of secure domain name requests could result in substantial degradation in our customer support service and our ability to process registration requests in a timely manner.</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sell our solutions will be dependent on the quality of our technical support, and our failure to deliver high-quality technical support services could have a material adverse effect on our sales and results of operations.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we do not effectively assist our customers in deploying our products, succeed in helping our customers quickly resolve post-deployment issues and provide effective ongoing support, or if potential customers perceive that we may not be able achieve to the foregoing, our ability to sell our products would be adversely affected, and our reputation with current and potential customers could be harmed. In addition, as we expand our operations internationally, our technical support team will face additional challenges, including those associated with delivering support, training and documentation in languages other than English. Our failure to deliver and maintain high-quality technical support services to our customers could result in customers choosing to use our competitors’ products and support services instead of ours in the future.</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Telephone carriers have petitioned governmental agencies to enforce regulatory tariffs, which, if granted, would increase the cost of online communication, and such increase in cost may impede the growth of online communication and adversely affect our business.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Use of the Internet has over-burdened existing telecommunications infrastructures, and many high traffic areas have begun to experience interruptions in service. As a result, certain local telephone carriers have petitioned governmental agencies to enforce regulatory tariffs on IP telephony traffic that crosses over their traditional telephone networks. If the relief sought in these petitions is granted, the costs of communicating via online could increase substantially, potentially adversely affecting the growth in the use of online secure communications. Any of these developments could have an adverse effect on our business.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8" w:name="page29"/>
    <w:bookmarkEnd w:id="28"/>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departure of Kendall Larsen, our Chief Executive Officer and President, and/or other key personnel could compromise our ability to execute our strategic plan and may result in additional severance costs to us.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success largely depends on the skills, experience and efforts of our key personnel, including Kendall Larsen, our Chief Executive Officer and President. We have no employment agreements with any of our key executives that prevent them from leaving us at any time. In addition, we do not maintain key person life insurance for any of our officers or key employees. The loss of Mr. Larsen, or our failure to retain other key personnel, would jeopardize our ability to execute our strategic plan and materially harm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need to recruit and retain additional qualified personnel to successfully grow our business.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future success will depend, in part, on our ability to attract and retain qualified engineering, operations, marketing, sales and executive personnel. Inability to attract and retain such personnel could adversely affect our business. Competition for engineering, operations, marketing, sales and executive personnel is intense, particularly in the technology and Internet sectors and in the regions where we conduct our business. We can provide no assurance that we will attract or retain such personnel.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identify future material weakness which may result in late filings, increased costs or declines in our share price.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believe that we currently maintain effective control over our disclosures and procedures and internal control over financial reporting, we may in the future identify deficiencies regarding the design and effectiveness of our system of internal control over financial reporting. If we experience any material weaknesses in our internal control over financial reporting the future or are unable to provide unqualified management or attestation reports about our internal controls, we may be unable to meet financial and other reporting deadlines and may incur costs associated with remediation, and any of which could cause our share price to decline.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currently pay dividends on our common stock and thus stockholders must look to appreciation of our common stock to realize a gain on their investments.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dividend policy is within the discretion of our Board of Directors and will depend upon various factors, including our business, financial condition, results of operations, capital requirements, and investment opportunities. We therefore cannot make assurances that our Board of Directors will determine to pay regular or special dividends in the future. Accordingly, unless our Board of Directors determines to pay dividends, stockholders will be required to look to appreciation of our common stock to realize a gain on their investment. This appreciation may not occur.</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exercise of our outstanding stock options and issuance of new shares would result in a dilution of our current stockholders’ voting power and an increase in the number of shares eligible for future resale in the public market which may negatively impact the market price of our stock.</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exercise of our outstanding vested stock options would dilute the ownership interests of our existing stockholders. As of March 31, 2017, we had outstanding options to purchase an aggregate of 5,403,571 shares of common stock representing 9.25% of our total shares outstanding of which 4,561,251 were vested and therefore exercisable. To the extent outstanding stock options are exercised, additional shares of common stock will be issued, existing stockholders’ percentage voting interests will decline and the number of shares eligible for resale in the public market will increase. Such increase may have a negative effect on the value or market trading price of our common stock.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Trading in our common stock is limited and the price of our common shares may be subject to substantial volatility.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common stock is listed on NYSE MKT. Over the past years the market price of our common stock has experienced significant fluctuations. Between April 1, 2016, and March 31, 2017, the reported last adjusted closing price on NYSE MKT for our common stock ranged between $1.85 and $6.20 per share. The price of our common stock may continue to be volatile as a result of a number of factors, some of which are beyond our control. These factors include, but not limited to, the following:</w:t>
      </w:r>
    </w:p>
    <w:p>
      <w:pPr>
        <w:spacing w:after="0" w:line="207" w:lineRule="exact"/>
        <w:rPr>
          <w:sz w:val="20"/>
          <w:szCs w:val="20"/>
          <w:color w:val="auto"/>
        </w:rPr>
      </w:pPr>
    </w:p>
    <w:p>
      <w:pPr>
        <w:ind w:left="980" w:hanging="648"/>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lack thereof in any then-outstanding litigation;</w:t>
      </w:r>
    </w:p>
    <w:p>
      <w:pPr>
        <w:spacing w:after="0" w:line="252"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variations in our operating results;</w:t>
      </w:r>
    </w:p>
    <w:p>
      <w:pPr>
        <w:spacing w:after="0" w:line="252"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purchases or sales of common stock or derivative transactions related to our stock;</w:t>
      </w:r>
    </w:p>
    <w:p>
      <w:pPr>
        <w:spacing w:after="0" w:line="252"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announcements of new products or services by us or competitors;</w:t>
      </w:r>
    </w:p>
    <w:p>
      <w:pPr>
        <w:spacing w:after="0" w:line="252"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conditions in the markets in which we compete; and</w:t>
      </w:r>
    </w:p>
    <w:p>
      <w:pPr>
        <w:spacing w:after="0" w:line="252" w:lineRule="exact"/>
        <w:rPr>
          <w:rFonts w:ascii="Times New Roman" w:cs="Times New Roman" w:eastAsia="Times New Roman" w:hAnsi="Times New Roman"/>
          <w:sz w:val="18"/>
          <w:szCs w:val="18"/>
          <w:color w:val="auto"/>
        </w:rPr>
      </w:pPr>
    </w:p>
    <w:p>
      <w:pPr>
        <w:ind w:left="980" w:hanging="648"/>
        <w:spacing w:after="0" w:line="266"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social, political, economic and financial conditions, including the significant volatility in the global financial markets as a result of the announcement of the Referendum of the United Kingdom’s membership of the European Union, referred to as Brexit and concerns regarding the impact of the recent U.S. presidential election on domestic and international regulations, taxes of international trade agreements.</w:t>
      </w:r>
    </w:p>
    <w:p>
      <w:pPr>
        <w:sectPr>
          <w:pgSz w:w="11900" w:h="16838" w:orient="portrait"/>
          <w:cols w:equalWidth="0" w:num="1">
            <w:col w:w="11420"/>
          </w:cols>
          <w:pgMar w:left="240" w:top="115" w:right="239" w:bottom="1440" w:gutter="0" w:footer="0" w:header="0"/>
        </w:sect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type w:val="continuous"/>
        </w:sectPr>
      </w:pPr>
    </w:p>
    <w:bookmarkStart w:id="29" w:name="page30"/>
    <w:bookmarkEnd w:id="29"/>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we believe there has been and may continue to be substantial trading in derivatives of our stock, including short selling activity or related similar activities, which are beyond our control and which may be beyond the full control of the SEC and Financial Institutions Regulatory Authority or “FINRA”. While the SEC and FINRA rules prohibit some forms of short selling and other activities that may result in stock price manipulation, such activity may nonetheless occur without detection or enforcement. We have held conversations with regulators concerning trading activity in our stock; however, there can be no assurance that should there be any illegal manipulation in the trading of our stock, it will be detected, prosecuted or successfully eradicated. Significant short selling or other types of market manipulation could cause our stock trading price to decline, to become more volatile, or both.</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decline because our operating results may not be consistent and may be difficult to predict.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reported net income has fluctuated in the past due to several factors. We expect that our future operating results may also fluctuate due to the same or similar factors. We had a net loss of $29.2 million for the year ended December 31, 2015, a net loss of $28.6 million for the year ended December 31, 2016, and a net loss of $3.9 million for the quarter ended March 31, 2017, with an accumulated deficit of $162 million. The following include some of the factors that may cause our operating results to fluctuate:</w:t>
      </w:r>
    </w:p>
    <w:p>
      <w:pPr>
        <w:spacing w:after="0" w:line="207" w:lineRule="exact"/>
        <w:rPr>
          <w:sz w:val="20"/>
          <w:szCs w:val="20"/>
          <w:color w:val="auto"/>
        </w:rPr>
      </w:pPr>
    </w:p>
    <w:p>
      <w:pPr>
        <w:ind w:left="980" w:right="340" w:hanging="648"/>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actions to enforce our intellectual property rights currently in progress or that we may undertake in the future, and the timing thereof;</w:t>
      </w:r>
    </w:p>
    <w:p>
      <w:pPr>
        <w:spacing w:after="0" w:line="188"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receipt of license fees from potential infringers, licensees or customers;</w:t>
      </w:r>
    </w:p>
    <w:p>
      <w:pPr>
        <w:spacing w:after="0" w:line="252"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adoption of our patented technologies;</w:t>
      </w:r>
    </w:p>
    <w:p>
      <w:pPr>
        <w:spacing w:after="0" w:line="252" w:lineRule="exact"/>
        <w:rPr>
          <w:rFonts w:ascii="Times New Roman" w:cs="Times New Roman" w:eastAsia="Times New Roman" w:hAnsi="Times New Roman"/>
          <w:sz w:val="18"/>
          <w:szCs w:val="18"/>
          <w:color w:val="auto"/>
        </w:rPr>
      </w:pPr>
    </w:p>
    <w:p>
      <w:pPr>
        <w:ind w:left="980" w:right="300" w:hanging="648"/>
        <w:spacing w:after="0" w:line="266"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new license arrangements we may execute, or that may expire, within a particular period and the scope of those licenses, including the number of our patents which are licensed, the extent of prior infringement of our patent rights, royalty rates, timing of payment obligations, expiration date etc.;</w:t>
      </w:r>
    </w:p>
    <w:p>
      <w:pPr>
        <w:spacing w:after="0" w:line="203"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a licensee in selling products that use our patented technologies; and</w:t>
      </w:r>
    </w:p>
    <w:p>
      <w:pPr>
        <w:spacing w:after="0" w:line="252" w:lineRule="exact"/>
        <w:rPr>
          <w:rFonts w:ascii="Times New Roman" w:cs="Times New Roman" w:eastAsia="Times New Roman" w:hAnsi="Times New Roman"/>
          <w:sz w:val="18"/>
          <w:szCs w:val="18"/>
          <w:color w:val="auto"/>
        </w:rPr>
      </w:pPr>
    </w:p>
    <w:p>
      <w:pPr>
        <w:ind w:left="980" w:right="400" w:hanging="648"/>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expenses related to our patent filings and enforcement proceedings, including litigation, related to our intellectual property rights.</w:t>
      </w:r>
    </w:p>
    <w:p>
      <w:pPr>
        <w:spacing w:after="0" w:line="162"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7"/>
          <w:szCs w:val="17"/>
          <w:color w:val="auto"/>
        </w:rPr>
        <w:t>These fluctuations may make our business particularly difficult to manage, adversely affect our business and operating results, make our operating results difficult for investors to predict and, further, cause our results to fall below investor’s expectations and adversely affect the market price of our common stock.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has been and may continue to be volatile, and you could lose all or part of your investment.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has been volatile since our initial public offering, and is likely to continue to be volatile. Factors that could cause fluctuations in the market price of our common stock include, but are not limited to the following:</w:t>
      </w:r>
    </w:p>
    <w:p>
      <w:pPr>
        <w:spacing w:after="0" w:line="189" w:lineRule="exact"/>
        <w:rPr>
          <w:sz w:val="20"/>
          <w:szCs w:val="20"/>
          <w:color w:val="auto"/>
        </w:rPr>
      </w:pPr>
    </w:p>
    <w:p>
      <w:pPr>
        <w:ind w:left="980" w:hanging="648"/>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from time to time;</w:t>
      </w:r>
    </w:p>
    <w:p>
      <w:pPr>
        <w:spacing w:after="0" w:line="252"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market prices and trading volumes of companies in our industry or companies that investors consider comparable;</w:t>
      </w:r>
    </w:p>
    <w:p>
      <w:pPr>
        <w:spacing w:after="0" w:line="252"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other companies generally, or those in our industry;</w:t>
      </w:r>
    </w:p>
    <w:p>
      <w:pPr>
        <w:spacing w:after="0" w:line="252"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shares of our common stock by us or our stockholders;</w:t>
      </w:r>
    </w:p>
    <w:p>
      <w:pPr>
        <w:spacing w:after="0" w:line="252" w:lineRule="exact"/>
        <w:rPr>
          <w:rFonts w:ascii="Times New Roman" w:cs="Times New Roman" w:eastAsia="Times New Roman" w:hAnsi="Times New Roman"/>
          <w:sz w:val="18"/>
          <w:szCs w:val="18"/>
          <w:color w:val="auto"/>
        </w:rPr>
      </w:pPr>
    </w:p>
    <w:p>
      <w:pPr>
        <w:ind w:left="980" w:right="360" w:hanging="648"/>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securities analysts to maintain coverage of us, changes in financial estimates by securities analysts who follow us, or our failure to meet these estimates or the expectations of investors;</w:t>
      </w:r>
    </w:p>
    <w:p>
      <w:pPr>
        <w:spacing w:after="0" w:line="188"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we may provide to the public, any changes in those projections or our failure to meet those projections;</w:t>
      </w:r>
    </w:p>
    <w:p>
      <w:pPr>
        <w:spacing w:after="0" w:line="252"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new products or services;</w:t>
      </w:r>
    </w:p>
    <w:p>
      <w:pPr>
        <w:spacing w:after="0" w:line="252"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other public announcements and filings with the SEC;</w:t>
      </w:r>
    </w:p>
    <w:p>
      <w:pPr>
        <w:spacing w:after="0" w:line="252"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and market speculation involving us or other companies in our industry;</w:t>
      </w:r>
    </w:p>
    <w:p>
      <w:pPr>
        <w:sectPr>
          <w:pgSz w:w="11900" w:h="16838" w:orient="portrait"/>
          <w:cols w:equalWidth="0" w:num="1">
            <w:col w:w="11420"/>
          </w:cols>
          <w:pgMar w:left="240" w:top="115" w:right="2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type w:val="continuous"/>
        </w:sectPr>
      </w:pPr>
    </w:p>
    <w:bookmarkStart w:id="30" w:name="page31"/>
    <w:bookmarkEnd w:id="30"/>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ind w:left="980" w:hanging="648"/>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results of operations;</w:t>
      </w:r>
    </w:p>
    <w:p>
      <w:pPr>
        <w:spacing w:after="0" w:line="252"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our business, our competitors’ businesses or the competitive landscape generally;</w:t>
      </w:r>
    </w:p>
    <w:p>
      <w:pPr>
        <w:spacing w:after="0" w:line="252"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us, our industry or both, or investigations by regulators into our operations or those of our competitors;</w:t>
      </w:r>
    </w:p>
    <w:p>
      <w:pPr>
        <w:spacing w:after="0" w:line="252"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or completed acquisitions of businesses or technologies by us or our competitors;</w:t>
      </w:r>
    </w:p>
    <w:p>
      <w:pPr>
        <w:spacing w:after="0" w:line="252"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or regulations or new interpretations of existing laws or regulations applicable to our business;</w:t>
      </w:r>
    </w:p>
    <w:p>
      <w:pPr>
        <w:spacing w:after="0" w:line="252"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guidelines, interpretations or principles;</w:t>
      </w:r>
    </w:p>
    <w:p>
      <w:pPr>
        <w:spacing w:after="0" w:line="252"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change in our management; and</w:t>
      </w:r>
    </w:p>
    <w:p>
      <w:pPr>
        <w:spacing w:after="0" w:line="252"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slow or negative growth of our markets.</w:t>
      </w:r>
    </w:p>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 in recent years the stock markets have experienced extreme price and volume fluctuations that have affected and continue to affect the market prices of equity securities of many companies. These fluctuations often have been unrelated or disproportionate to the operating performance of those companies. In addition, the stock prices of many technology companies have experienced wide fluctuations that have often been unrelated to the operating performance of those companies. These broad market and industry fluctuations, as well as general economic, political and market conditions such as recessions, government shutdowns, interest rate changes the stability of the EU and the exit of the United Kingdom or international currency fluctuations, may cause the market price of our common stock to decline. In the past, following periods of volatility in the overall market and the market price of a particular company’s securities, securities class action litigation has often been instituted against these companies.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Because ownership of our common stock is concentrated, investors may have limited influence on stockholder decisions.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March 31, 2017, our executive officers and directors beneficially owned approximately 19% of our outstanding common stock. In addition, a group of stockholders that, as of December 31, 2007, held 4,766,666 shares, or approximately 8.4% of our then outstanding common stock, have entered into a voting agreement with us that requires them to vote all of their shares of our voting stock in favor of the director nominees approved by our Board of Directors at each director election going forward, and in a manner that is proportional to the votes cast by all other voting shares as to any other matters submitted to the stockholders for a vote. However, we cannot be certain how many shares of our common stock this group of stockholders currently owns. Because of their beneficial ownership interest, our officers and directors could significantly influence stockholder actions of which you disapprove or that are contrary to your interests. This ability to exercise significant influence could prevent or significantly delay another company from acquiring or merging with us.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protective provisions in our amended and restated certificate of incorporation and bylaws could make it difficult for a third party to successfully acquire us even if you would like to sell your stock to them.</w:t>
      </w:r>
    </w:p>
    <w:p>
      <w:pPr>
        <w:spacing w:after="0" w:line="15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a number of protective provisions in our amended and restated certificate of incorporation and bylaws that could delay, discourage or prevent a third party from acquiring control of us without the approval of our Board of Directors. These protective provisions include:</w:t>
      </w:r>
    </w:p>
    <w:p>
      <w:pPr>
        <w:spacing w:after="0" w:line="185" w:lineRule="exact"/>
        <w:rPr>
          <w:sz w:val="20"/>
          <w:szCs w:val="20"/>
          <w:color w:val="auto"/>
        </w:rPr>
      </w:pPr>
    </w:p>
    <w:p>
      <w:pPr>
        <w:jc w:val="both"/>
        <w:ind w:left="980" w:right="380" w:hanging="648"/>
        <w:spacing w:after="0" w:line="268"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 staggered Board of Directors</w:t>
      </w:r>
      <w:r>
        <w:rPr>
          <w:rFonts w:ascii="Times New Roman" w:cs="Times New Roman" w:eastAsia="Times New Roman" w:hAnsi="Times New Roman"/>
          <w:sz w:val="18"/>
          <w:szCs w:val="18"/>
          <w:color w:val="auto"/>
        </w:rPr>
        <w:t>: This means that only one or two directors (since we have a five-person Board of Directors) will be up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election at any given annual meeting. This has the effect of delaying the ability of stockholders to affect a change in control of us because it would take two annual meetings to effectively replace a majority of the Board of Directors.</w:t>
      </w:r>
    </w:p>
    <w:p>
      <w:pPr>
        <w:spacing w:after="0" w:line="197" w:lineRule="exact"/>
        <w:rPr>
          <w:rFonts w:ascii="Times New Roman" w:cs="Times New Roman" w:eastAsia="Times New Roman" w:hAnsi="Times New Roman"/>
          <w:sz w:val="18"/>
          <w:szCs w:val="18"/>
          <w:color w:val="auto"/>
        </w:rPr>
      </w:pPr>
    </w:p>
    <w:p>
      <w:pPr>
        <w:ind w:left="980" w:right="80" w:hanging="648"/>
        <w:spacing w:after="0" w:line="257"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Blank check preferred stock</w:t>
      </w:r>
      <w:r>
        <w:rPr>
          <w:rFonts w:ascii="Times New Roman" w:cs="Times New Roman" w:eastAsia="Times New Roman" w:hAnsi="Times New Roman"/>
          <w:sz w:val="18"/>
          <w:szCs w:val="18"/>
          <w:color w:val="auto"/>
        </w:rPr>
        <w:t>: Our Board of Directors has the authority to establish the rights, preferences and privileges of our 10,000,000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but unissued, shares of preferred stock. Therefore, this stock may be issued at the discretion of our Board of Directors with preferences over your shares of our common stock in a manner that is materially dilutive to you. In addition, blank check preferred stock can be used to create a “poison pill” which is designed to deter a hostile bidder from buying a controlling interest in our stock without the approval of our Board of Directors. We have not adopted such a “poison pill;” but our Board of Directors has the ability to do so in the future, very rapidly and without stockholder approval.</w:t>
      </w:r>
    </w:p>
    <w:p>
      <w:pPr>
        <w:spacing w:after="0" w:line="209" w:lineRule="exact"/>
        <w:rPr>
          <w:rFonts w:ascii="Times New Roman" w:cs="Times New Roman" w:eastAsia="Times New Roman" w:hAnsi="Times New Roman"/>
          <w:sz w:val="18"/>
          <w:szCs w:val="18"/>
          <w:color w:val="auto"/>
        </w:rPr>
      </w:pPr>
    </w:p>
    <w:p>
      <w:pPr>
        <w:ind w:left="980" w:right="280" w:hanging="648"/>
        <w:spacing w:after="0" w:line="259"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Advance notice requirements for director nominations and for new business to be brought up at stockholder meetings</w:t>
      </w:r>
      <w:r>
        <w:rPr>
          <w:rFonts w:ascii="Times New Roman" w:cs="Times New Roman" w:eastAsia="Times New Roman" w:hAnsi="Times New Roman"/>
          <w:sz w:val="18"/>
          <w:szCs w:val="18"/>
          <w:color w:val="auto"/>
        </w:rPr>
        <w:t>: Stockholders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wishing to submit director nominations or raise matters to a vote of the stockholders must provide notice to us within very specific date windows and in very specific form in order to have the matter voted on at a stockholder meeting. This has the effect of giving our Board of Directors and management more time to react to stockholder proposals generally and could also have the effect of disregarding a stockholder proposal or deferring it to a subsequent meeting to the extent such proposal is not raised properly.</w:t>
      </w:r>
    </w:p>
    <w:p>
      <w:pPr>
        <w:spacing w:after="0" w:line="206" w:lineRule="exact"/>
        <w:rPr>
          <w:rFonts w:ascii="Times New Roman" w:cs="Times New Roman" w:eastAsia="Times New Roman" w:hAnsi="Times New Roman"/>
          <w:sz w:val="18"/>
          <w:szCs w:val="18"/>
          <w:color w:val="auto"/>
        </w:rPr>
      </w:pPr>
    </w:p>
    <w:p>
      <w:pPr>
        <w:jc w:val="both"/>
        <w:ind w:left="980" w:hanging="648"/>
        <w:spacing w:after="0" w:line="268"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stockholder actions by written consent</w:t>
      </w:r>
      <w:r>
        <w:rPr>
          <w:rFonts w:ascii="Times New Roman" w:cs="Times New Roman" w:eastAsia="Times New Roman" w:hAnsi="Times New Roman"/>
          <w:sz w:val="18"/>
          <w:szCs w:val="18"/>
          <w:color w:val="auto"/>
        </w:rPr>
        <w:t>: No stockholder or group of stockholders may take actions rapidly and without prior notice to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of Directors and management or to the minority stockholders. Along with the advance notice requirements described above, this provision also gives our Board of Directors and management more time to react to proposed stockholder actions.</w:t>
      </w:r>
    </w:p>
    <w:p>
      <w:pPr>
        <w:sectPr>
          <w:pgSz w:w="11900" w:h="16838" w:orient="portrait"/>
          <w:cols w:equalWidth="0" w:num="1">
            <w:col w:w="11420"/>
          </w:cols>
          <w:pgMar w:left="240" w:top="115"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type w:val="continuous"/>
        </w:sectPr>
      </w:pPr>
    </w:p>
    <w:bookmarkStart w:id="31" w:name="page32"/>
    <w:bookmarkEnd w:id="31"/>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ind w:left="980" w:right="160" w:hanging="648"/>
        <w:spacing w:after="0" w:line="286"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Super majority requirement for stockholder amendments to the By-laws</w:t>
      </w:r>
      <w:r>
        <w:rPr>
          <w:rFonts w:ascii="Times New Roman" w:cs="Times New Roman" w:eastAsia="Times New Roman" w:hAnsi="Times New Roman"/>
          <w:sz w:val="18"/>
          <w:szCs w:val="18"/>
          <w:color w:val="auto"/>
        </w:rPr>
        <w:t>: Stockholder proposals to alter or amend our By-laws or to adopt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By-laws can only be approved by the affirmative vote of at least 66 2/3% of the outstanding shares of our common stock.</w:t>
      </w:r>
    </w:p>
    <w:p>
      <w:pPr>
        <w:spacing w:after="0" w:line="181" w:lineRule="exact"/>
        <w:rPr>
          <w:rFonts w:ascii="Times New Roman" w:cs="Times New Roman" w:eastAsia="Times New Roman" w:hAnsi="Times New Roman"/>
          <w:sz w:val="18"/>
          <w:szCs w:val="18"/>
          <w:color w:val="auto"/>
        </w:rPr>
      </w:pPr>
    </w:p>
    <w:p>
      <w:pPr>
        <w:ind w:left="980" w:hanging="648"/>
        <w:spacing w:after="0" w:line="268"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ability of stockholders to call a special meeting of the stockholders</w:t>
      </w:r>
      <w:r>
        <w:rPr>
          <w:rFonts w:ascii="Times New Roman" w:cs="Times New Roman" w:eastAsia="Times New Roman" w:hAnsi="Times New Roman"/>
          <w:sz w:val="18"/>
          <w:szCs w:val="18"/>
          <w:color w:val="auto"/>
        </w:rPr>
        <w:t>: Only the Board of Directors or management can call special meetings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stockholders. This could mean that stockholders, even those who represent a significant percentage of our shares of common stock, may need to wait for the annual meeting before nominating directors or raising other business proposals to be voted on by the stockholders.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the provisions of Section 203 of the Delaware General Corporate Law govern us. These provisions may prohibit large stockholders, in particular those owning 15% or more of our outstanding voting stock, from merging or combining with us for a certain period of time.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and other provisions in our amended and restated certificate of incorporation, our bylaws and under Delaware law could discourage potential takeover attempts, reduce the price that investors might be willing to pay for shares of our common stock in the future and result in the market price being lower than it would be without these provisions.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 OTHER INFORMATION.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32" w:name="page33"/>
    <w:bookmarkEnd w:id="32"/>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580" w:type="dxa"/>
            <w:vAlign w:val="bottom"/>
            <w:tcBorders>
              <w:bottom w:val="single" w:sz="8" w:color="auto"/>
            </w:tcBorders>
          </w:tcPr>
          <w:p>
            <w:pPr>
              <w:ind w:left="488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1</w:t>
              </w:r>
            </w:hyperlink>
          </w:p>
        </w:tc>
        <w:tc>
          <w:tcPr>
            <w:tcW w:w="420" w:type="dxa"/>
            <w:vAlign w:val="bottom"/>
            <w:shd w:val="clear" w:color="auto" w:fill="CCEEFF"/>
          </w:tcPr>
          <w:p>
            <w:pPr>
              <w:spacing w:after="0"/>
              <w:rPr>
                <w:sz w:val="15"/>
                <w:szCs w:val="15"/>
                <w:color w:val="auto"/>
              </w:rPr>
            </w:pPr>
          </w:p>
        </w:tc>
        <w:tc>
          <w:tcPr>
            <w:tcW w:w="1058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Certification of the President and Chief Executive Officer pursuant to Section 302 of the Sarbanes-Oxley Act of 2002.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5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00" w:type="dxa"/>
            <w:vAlign w:val="bottom"/>
            <w:gridSpan w:val="2"/>
          </w:tcPr>
          <w:p>
            <w:pPr>
              <w:spacing w:after="0" w:line="176" w:lineRule="exact"/>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2</w:t>
              </w:r>
            </w:hyperlink>
          </w:p>
        </w:tc>
        <w:tc>
          <w:tcPr>
            <w:tcW w:w="420" w:type="dxa"/>
            <w:vAlign w:val="bottom"/>
          </w:tcPr>
          <w:p>
            <w:pPr>
              <w:spacing w:after="0"/>
              <w:rPr>
                <w:sz w:val="15"/>
                <w:szCs w:val="15"/>
                <w:color w:val="auto"/>
              </w:rPr>
            </w:pPr>
          </w:p>
        </w:tc>
        <w:tc>
          <w:tcPr>
            <w:tcW w:w="1058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Certification of the Chief Financial Officer pursuant to Section 302 of the Sarbanes-Oxley Act of 2002.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2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1*</w:t>
              </w:r>
            </w:hyperlink>
          </w:p>
        </w:tc>
        <w:tc>
          <w:tcPr>
            <w:tcW w:w="1058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Certification of the President and Chief Executive Officer pursuant to 18 U.S.C. Section 1350, as adopted pursuant to Section 906 of the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420" w:type="dxa"/>
            <w:vAlign w:val="bottom"/>
            <w:tcBorders>
              <w:top w:val="single" w:sz="8" w:color="CCEEFF"/>
            </w:tcBorders>
            <w:shd w:val="clear" w:color="auto" w:fill="CCEEFF"/>
          </w:tcPr>
          <w:p>
            <w:pPr>
              <w:spacing w:after="0"/>
              <w:rPr>
                <w:sz w:val="20"/>
                <w:szCs w:val="20"/>
                <w:color w:val="auto"/>
              </w:rPr>
            </w:pPr>
          </w:p>
        </w:tc>
        <w:tc>
          <w:tcPr>
            <w:tcW w:w="1058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Sarbanes-Oxley Act of 2002.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3"/>
          </w:tcPr>
          <w:p>
            <w:pPr>
              <w:spacing w:after="0" w:line="176" w:lineRule="exact"/>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2*</w:t>
              </w:r>
            </w:hyperlink>
          </w:p>
        </w:tc>
        <w:tc>
          <w:tcPr>
            <w:tcW w:w="1058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Certification of the Chief Financial Officer pursuant to 18 U.S.C. Section 1350, as adopted pursuant to Section 906 of the Sarbanes-Oxley Act of</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420" w:type="dxa"/>
            <w:vAlign w:val="bottom"/>
          </w:tcPr>
          <w:p>
            <w:pPr>
              <w:spacing w:after="0"/>
              <w:rPr>
                <w:sz w:val="20"/>
                <w:szCs w:val="20"/>
                <w:color w:val="auto"/>
              </w:rPr>
            </w:pPr>
          </w:p>
        </w:tc>
        <w:tc>
          <w:tcPr>
            <w:tcW w:w="10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Interactive Data Files</w:t>
            </w: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jc w:val="both"/>
        <w:ind w:left="340" w:right="160" w:hanging="332"/>
        <w:spacing w:after="0" w:line="266"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is furnished herewith, but not deemed “filed” for purposes of Section 18 of the Securities Exchange Act of 1934, as amended, or otherwise subject to liability under that section. Such certifications will not be deemed to be incorporated by reference in any filing under the Securities Act or the Exchange Act, except to the extent that we explicitly incorporate them by reference.</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33" w:name="page34"/>
    <w:bookmarkEnd w:id="33"/>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VIRNETX HOLDING CORPORATION</w:t>
      </w:r>
    </w:p>
    <w:p>
      <w:pPr>
        <w:spacing w:after="0" w:line="225" w:lineRule="exact"/>
        <w:rPr>
          <w:sz w:val="20"/>
          <w:szCs w:val="20"/>
          <w:color w:val="auto"/>
        </w:rPr>
      </w:pPr>
    </w:p>
    <w:p>
      <w:pPr>
        <w:ind w:left="5740"/>
        <w:spacing w:after="0"/>
        <w:tabs>
          <w:tab w:leader="none" w:pos="6180" w:val="left"/>
        </w:tabs>
        <w:rPr>
          <w:sz w:val="20"/>
          <w:szCs w:val="20"/>
          <w:color w:val="auto"/>
        </w:rPr>
      </w:pPr>
      <w:r>
        <w:rPr>
          <w:rFonts w:ascii="Times New Roman" w:cs="Times New Roman" w:eastAsia="Times New Roman" w:hAnsi="Times New Roman"/>
          <w:sz w:val="18"/>
          <w:szCs w:val="18"/>
          <w:color w:val="auto"/>
        </w:rPr>
        <w:t>By:</w:t>
        <w:tab/>
        <w:t>/s/ Kendall Larsen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17145</wp:posOffset>
            </wp:positionV>
            <wp:extent cx="331025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10255" cy="17145"/>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Kendall Larsen</w:t>
      </w:r>
    </w:p>
    <w:p>
      <w:pPr>
        <w:spacing w:after="0" w:line="22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p>
      <w:pPr>
        <w:spacing w:after="0" w:line="252" w:lineRule="exact"/>
        <w:rPr>
          <w:sz w:val="20"/>
          <w:szCs w:val="20"/>
          <w:color w:val="auto"/>
        </w:rPr>
      </w:pPr>
    </w:p>
    <w:p>
      <w:pPr>
        <w:ind w:left="5780"/>
        <w:spacing w:after="0"/>
        <w:tabs>
          <w:tab w:leader="none" w:pos="6260" w:val="left"/>
        </w:tabs>
        <w:rPr>
          <w:sz w:val="20"/>
          <w:szCs w:val="20"/>
          <w:color w:val="auto"/>
        </w:rPr>
      </w:pPr>
      <w:r>
        <w:rPr>
          <w:rFonts w:ascii="Times New Roman" w:cs="Times New Roman" w:eastAsia="Times New Roman" w:hAnsi="Times New Roman"/>
          <w:sz w:val="18"/>
          <w:szCs w:val="18"/>
          <w:color w:val="auto"/>
        </w:rPr>
        <w:t>By:</w:t>
        <w:tab/>
        <w:t>/s/ Richard H. 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17145</wp:posOffset>
            </wp:positionV>
            <wp:extent cx="32588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Name  Richard H. Nance</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Chief Financial Officer (Principal Financial Officer and</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2017</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Kendall Larsen, certify that:</w:t>
      </w:r>
    </w:p>
    <w:p>
      <w:pPr>
        <w:spacing w:after="0" w:line="252" w:lineRule="exact"/>
        <w:rPr>
          <w:sz w:val="20"/>
          <w:szCs w:val="20"/>
          <w:color w:val="auto"/>
        </w:rPr>
      </w:pPr>
    </w:p>
    <w:p>
      <w:pPr>
        <w:ind w:left="180" w:hanging="172"/>
        <w:spacing w:after="0"/>
        <w:tabs>
          <w:tab w:leader="none" w:pos="1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VirnetX Holding Corporation for the quarter ended March 31, 2017;</w:t>
      </w:r>
    </w:p>
    <w:p>
      <w:pPr>
        <w:spacing w:after="0" w:line="252" w:lineRule="exact"/>
        <w:rPr>
          <w:rFonts w:ascii="Times New Roman" w:cs="Times New Roman" w:eastAsia="Times New Roman" w:hAnsi="Times New Roman"/>
          <w:sz w:val="18"/>
          <w:szCs w:val="18"/>
          <w:color w:val="auto"/>
        </w:rPr>
      </w:pPr>
    </w:p>
    <w:p>
      <w:pPr>
        <w:ind w:firstLine="8"/>
        <w:spacing w:after="0" w:line="282" w:lineRule="auto"/>
        <w:tabs>
          <w:tab w:leader="none" w:pos="20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firstLine="8"/>
        <w:spacing w:after="0" w:line="282" w:lineRule="auto"/>
        <w:tabs>
          <w:tab w:leader="none" w:pos="18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firstLine="8"/>
        <w:spacing w:after="0" w:line="266" w:lineRule="auto"/>
        <w:tabs>
          <w:tab w:leader="none" w:pos="18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 (e) and 15d-15 (e)) and internal control over financial reporting (as defined in Exchange Act Rules 13a-15 (f) and 15d-15 (f)) for the registrant and have:</w:t>
      </w:r>
    </w:p>
    <w:p>
      <w:pPr>
        <w:spacing w:after="0" w:line="203" w:lineRule="exact"/>
        <w:rPr>
          <w:sz w:val="20"/>
          <w:szCs w:val="20"/>
          <w:color w:val="auto"/>
        </w:rPr>
      </w:pPr>
    </w:p>
    <w:p>
      <w:pPr>
        <w:jc w:val="both"/>
        <w:ind w:firstLine="8"/>
        <w:spacing w:after="0" w:line="266" w:lineRule="auto"/>
        <w:tabs>
          <w:tab w:leader="none" w:pos="25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jc w:val="both"/>
        <w:ind w:firstLine="8"/>
        <w:spacing w:after="0" w:line="266" w:lineRule="auto"/>
        <w:tabs>
          <w:tab w:leader="none" w:pos="26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firstLine="8"/>
        <w:spacing w:after="0" w:line="282" w:lineRule="auto"/>
        <w:tabs>
          <w:tab w:leader="none" w:pos="24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firstLine="8"/>
        <w:spacing w:after="0" w:line="282" w:lineRule="auto"/>
        <w:tabs>
          <w:tab w:leader="none" w:pos="27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9" w:lineRule="exact"/>
        <w:rPr>
          <w:sz w:val="20"/>
          <w:szCs w:val="20"/>
          <w:color w:val="auto"/>
        </w:rPr>
      </w:pPr>
    </w:p>
    <w:p>
      <w:pPr>
        <w:ind w:firstLine="8"/>
        <w:spacing w:after="0" w:line="282" w:lineRule="auto"/>
        <w:tabs>
          <w:tab w:leader="none" w:pos="20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sz w:val="20"/>
          <w:szCs w:val="20"/>
          <w:color w:val="auto"/>
        </w:rPr>
      </w:pPr>
    </w:p>
    <w:p>
      <w:pPr>
        <w:ind w:firstLine="8"/>
        <w:spacing w:after="0" w:line="282" w:lineRule="auto"/>
        <w:tabs>
          <w:tab w:leader="none" w:pos="2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firstLine="8"/>
        <w:spacing w:after="0" w:line="282" w:lineRule="auto"/>
        <w:tabs>
          <w:tab w:leader="none" w:pos="27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Kendall Larsen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Kendall Larsen</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9" w:right="2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H. Nance, certify that:</w:t>
      </w:r>
    </w:p>
    <w:p>
      <w:pPr>
        <w:spacing w:after="0" w:line="252" w:lineRule="exact"/>
        <w:rPr>
          <w:sz w:val="20"/>
          <w:szCs w:val="20"/>
          <w:color w:val="auto"/>
        </w:rPr>
      </w:pPr>
    </w:p>
    <w:p>
      <w:pPr>
        <w:ind w:left="180" w:hanging="172"/>
        <w:spacing w:after="0"/>
        <w:tabs>
          <w:tab w:leader="none" w:pos="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VirnetX Holding Corporation for the quarter ended March 31, 2017;</w:t>
      </w:r>
    </w:p>
    <w:p>
      <w:pPr>
        <w:spacing w:after="0" w:line="252" w:lineRule="exact"/>
        <w:rPr>
          <w:rFonts w:ascii="Times New Roman" w:cs="Times New Roman" w:eastAsia="Times New Roman" w:hAnsi="Times New Roman"/>
          <w:sz w:val="18"/>
          <w:szCs w:val="18"/>
          <w:color w:val="auto"/>
        </w:rPr>
      </w:pPr>
    </w:p>
    <w:p>
      <w:pPr>
        <w:ind w:firstLine="8"/>
        <w:spacing w:after="0" w:line="282" w:lineRule="auto"/>
        <w:tabs>
          <w:tab w:leader="none" w:pos="20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firstLine="8"/>
        <w:spacing w:after="0" w:line="282" w:lineRule="auto"/>
        <w:tabs>
          <w:tab w:leader="none" w:pos="18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firstLine="8"/>
        <w:spacing w:after="0" w:line="266" w:lineRule="auto"/>
        <w:tabs>
          <w:tab w:leader="none" w:pos="18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 (e) and 15d-15 (e)) and internal control over financial reporting (as defined in Exchange Act Rules 13a-15 (f) and 15d-15 (f)) for the registrant and have:</w:t>
      </w:r>
    </w:p>
    <w:p>
      <w:pPr>
        <w:spacing w:after="0" w:line="203" w:lineRule="exact"/>
        <w:rPr>
          <w:sz w:val="20"/>
          <w:szCs w:val="20"/>
          <w:color w:val="auto"/>
        </w:rPr>
      </w:pPr>
    </w:p>
    <w:p>
      <w:pPr>
        <w:jc w:val="both"/>
        <w:ind w:firstLine="8"/>
        <w:spacing w:after="0" w:line="266" w:lineRule="auto"/>
        <w:tabs>
          <w:tab w:leader="none" w:pos="25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jc w:val="both"/>
        <w:ind w:firstLine="8"/>
        <w:spacing w:after="0" w:line="266" w:lineRule="auto"/>
        <w:tabs>
          <w:tab w:leader="none" w:pos="26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firstLine="8"/>
        <w:spacing w:after="0" w:line="282" w:lineRule="auto"/>
        <w:tabs>
          <w:tab w:leader="none" w:pos="24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firstLine="8"/>
        <w:spacing w:after="0" w:line="282" w:lineRule="auto"/>
        <w:tabs>
          <w:tab w:leader="none" w:pos="27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9" w:lineRule="exact"/>
        <w:rPr>
          <w:sz w:val="20"/>
          <w:szCs w:val="20"/>
          <w:color w:val="auto"/>
        </w:rPr>
      </w:pPr>
    </w:p>
    <w:p>
      <w:pPr>
        <w:ind w:firstLine="8"/>
        <w:spacing w:after="0" w:line="282" w:lineRule="auto"/>
        <w:tabs>
          <w:tab w:leader="none" w:pos="20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sz w:val="20"/>
          <w:szCs w:val="20"/>
          <w:color w:val="auto"/>
        </w:rPr>
      </w:pPr>
    </w:p>
    <w:p>
      <w:pPr>
        <w:ind w:firstLine="8"/>
        <w:spacing w:after="0" w:line="282" w:lineRule="auto"/>
        <w:tabs>
          <w:tab w:leader="none" w:pos="2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firstLine="8"/>
        <w:spacing w:after="0" w:line="282" w:lineRule="auto"/>
        <w:tabs>
          <w:tab w:leader="none" w:pos="27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Richard H. 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Richard H. Nance</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7"/>
          <w:szCs w:val="17"/>
          <w:i w:val="1"/>
          <w:iCs w:val="1"/>
          <w:color w:val="auto"/>
        </w:rPr>
        <w:t>(Principal Financial Officer and Principal Accounting Officer)</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9" w:right="2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32.1</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VirnetX Holding Corporation (the “Company”) on Form 10-Q for the quarter ended March 31, 2017 as filed with the Securities and Exchange Commission on May 8, 2017 (the “Report”), I, Kendall Larsen, President and Chief Executive Officer of the Company, certify, pursuant to 18 U.S.C. Section 1350, as adopted pursuant to Section 906 of the Sarbanes-Oxley Act of 2002, that, to my knowledge:</w:t>
      </w:r>
    </w:p>
    <w:p>
      <w:pPr>
        <w:spacing w:after="0" w:line="203" w:lineRule="exact"/>
        <w:rPr>
          <w:sz w:val="20"/>
          <w:szCs w:val="20"/>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Kendall Larsen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Kendall Larsen</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9" w:right="2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32.2</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VirnetX Holding Corporation (the “Company”) on Form 10-Q for the quarter ended March 31, 2017 as filed with the Securities and Exchange Commission on May 8, 2017 (the “Report”), I, Richard H. Nance, Chief Financial Officer of the Company, certify, pursuant to 18 U.S.C. Section 1350, as adopted pursuant to Section 906 of the Sarbanes-Oxley Act of 2002, that, to my knowledge:</w:t>
      </w:r>
    </w:p>
    <w:p>
      <w:pPr>
        <w:spacing w:after="0" w:line="203" w:lineRule="exact"/>
        <w:rPr>
          <w:sz w:val="20"/>
          <w:szCs w:val="20"/>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Richard H. 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Richard H. Nance</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7"/>
          <w:szCs w:val="17"/>
          <w:i w:val="1"/>
          <w:iCs w:val="1"/>
          <w:color w:val="auto"/>
        </w:rPr>
        <w:t>(Principal Financial Officer and Principal Accounting Officer)</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27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lowerLetter"/>
      <w:start w:val="1"/>
    </w:lvl>
  </w:abstractNum>
  <w:abstractNum w:abstractNumId="18">
    <w:nsid w:val="2443A858"/>
    <w:multiLevelType w:val="hybridMultilevel"/>
    <w:lvl w:ilvl="0">
      <w:lvlJc w:val="left"/>
      <w:lvlText w:val="%1."/>
      <w:numFmt w:val="decimal"/>
      <w:start w:val="5"/>
    </w:lvl>
  </w:abstractNum>
  <w:abstractNum w:abstractNumId="19">
    <w:nsid w:val="2D1D5AE9"/>
    <w:multiLevelType w:val="hybridMultilevel"/>
    <w:lvl w:ilvl="0">
      <w:lvlJc w:val="left"/>
      <w:lvlText w:val="(%1)"/>
      <w:numFmt w:val="lowerLetter"/>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1)"/>
      <w:numFmt w:val="lowerLetter"/>
      <w:start w:val="1"/>
    </w:lvl>
  </w:abstractNum>
  <w:abstractNum w:abstractNumId="22">
    <w:nsid w:val="8EDBDAB"/>
    <w:multiLevelType w:val="hybridMultilevel"/>
    <w:lvl w:ilvl="0">
      <w:lvlJc w:val="left"/>
      <w:lvlText w:val="%1."/>
      <w:numFmt w:val="decimal"/>
      <w:start w:val="5"/>
    </w:lvl>
  </w:abstractNum>
  <w:abstractNum w:abstractNumId="23">
    <w:nsid w:val="79838CB2"/>
    <w:multiLevelType w:val="hybridMultilevel"/>
    <w:lvl w:ilvl="0">
      <w:lvlJc w:val="left"/>
      <w:lvlText w:val="(%1)"/>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2019-12-29T05:45:06Z</dcterms:created>
  <dcterms:modified xsi:type="dcterms:W3CDTF">2019-12-29T05:45:06Z</dcterms:modified>
</cp:coreProperties>
</file>