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471_10q.htm"/>
      <w:bookmarkStart w:id="1" w:name="ksef20075471_10q"/>
      <w:bookmarkStart w:id="2" w:name="ef20075471_10q.htm"/>
      <w:bookmarkStart w:id="3" w:name="ksef20075471_10q"/>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 One)</w:t>
      </w:r>
    </w:p>
    <w:p>
      <w:pPr>
        <w:pStyle w:val="Normal"/>
        <w:bidi w:val="0"/>
        <w:spacing w:before="0" w:after="0"/>
        <w:jc w:val="left"/>
        <w:rPr>
          <w:sz w:val="4"/>
          <w:szCs w:val="4"/>
        </w:rPr>
      </w:pPr>
      <w:r>
        <w:rPr>
          <w:sz w:val="4"/>
          <w:szCs w:val="4"/>
        </w:rPr>
      </w:r>
      <w:bookmarkStart w:id="4" w:name="z368278ba35a440709b7bdfb7466f24a6"/>
      <w:bookmarkStart w:id="5" w:name="z368278ba35a440709b7bdfb7466f24a6"/>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the quarterly period ended June 30,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Normal"/>
        <w:bidi w:val="0"/>
        <w:spacing w:before="0" w:after="0"/>
        <w:jc w:val="left"/>
        <w:rPr>
          <w:sz w:val="4"/>
          <w:szCs w:val="4"/>
        </w:rPr>
      </w:pPr>
      <w:r>
        <w:rPr>
          <w:sz w:val="4"/>
          <w:szCs w:val="4"/>
        </w:rPr>
      </w:r>
      <w:bookmarkStart w:id="6" w:name="za7b1badf389f4d718fa40d357da059b3"/>
      <w:bookmarkStart w:id="7" w:name="za7b1badf389f4d718fa40d357da059b3"/>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001-33852</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27146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495300"/>
                    </a:xfrm>
                    <a:prstGeom prst="rect">
                      <a:avLst/>
                    </a:prstGeom>
                  </pic:spPr>
                </pic:pic>
              </a:graphicData>
            </a:graphic>
          </wp:inline>
        </w:drawing>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85f88271a3504933a27fe594c1929557"/>
      <w:bookmarkStart w:id="9" w:name="z85f88271a3504933a27fe594c1929557"/>
      <w:bookmarkEnd w:id="9"/>
    </w:p>
    <w:tbl>
      <w:tblPr>
        <w:tblW w:w="9940" w:type="dxa"/>
        <w:jc w:val="left"/>
        <w:tblInd w:w="0" w:type="dxa"/>
        <w:tblLayout w:type="fixed"/>
        <w:tblCellMar>
          <w:top w:w="0" w:type="dxa"/>
          <w:left w:w="0" w:type="dxa"/>
          <w:bottom w:w="0" w:type="dxa"/>
          <w:right w:w="0" w:type="dxa"/>
        </w:tblCellMar>
      </w:tblPr>
      <w:tblGrid>
        <w:gridCol w:w="6140"/>
        <w:gridCol w:w="90"/>
        <w:gridCol w:w="3710"/>
      </w:tblGrid>
      <w:tr>
        <w:trPr/>
        <w:tc>
          <w:tcPr>
            <w:tcW w:w="6140" w:type="dxa"/>
            <w:tcBorders/>
            <w:vAlign w:val="center"/>
          </w:tcPr>
          <w:p>
            <w:pPr>
              <w:pStyle w:val="TableContents"/>
              <w:bidi w:val="0"/>
              <w:spacing w:before="0" w:after="0"/>
              <w:jc w:val="center"/>
              <w:rPr>
                <w:b/>
                <w:color w:val="000000"/>
              </w:rPr>
            </w:pPr>
            <w:r>
              <w:rPr>
                <w:b/>
                <w:color w:val="000000"/>
              </w:rPr>
              <w:t>Delaware</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center"/>
              <w:rPr>
                <w:b/>
                <w:color w:val="000000"/>
              </w:rPr>
            </w:pPr>
            <w:r>
              <w:rPr>
                <w:b/>
                <w:color w:val="000000"/>
              </w:rPr>
              <w:t>77-0390628</w:t>
            </w:r>
          </w:p>
        </w:tc>
      </w:tr>
      <w:tr>
        <w:trPr/>
        <w:tc>
          <w:tcPr>
            <w:tcW w:w="6140"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9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pPr>
      <w:r>
        <w:rPr/>
      </w:r>
    </w:p>
    <w:tbl>
      <w:tblPr>
        <w:tblW w:w="6370" w:type="dxa"/>
        <w:jc w:val="left"/>
        <w:tblInd w:w="0" w:type="dxa"/>
        <w:tblLayout w:type="fixed"/>
        <w:tblCellMar>
          <w:top w:w="0" w:type="dxa"/>
          <w:left w:w="0" w:type="dxa"/>
          <w:bottom w:w="0" w:type="dxa"/>
          <w:right w:w="0" w:type="dxa"/>
        </w:tblCellMar>
      </w:tblPr>
      <w:tblGrid>
        <w:gridCol w:w="5090"/>
        <w:gridCol w:w="90"/>
        <w:gridCol w:w="1190"/>
      </w:tblGrid>
      <w:tr>
        <w:trPr/>
        <w:tc>
          <w:tcPr>
            <w:tcW w:w="5090" w:type="dxa"/>
            <w:tcBorders/>
            <w:vAlign w:val="center"/>
          </w:tcPr>
          <w:p>
            <w:pPr>
              <w:pStyle w:val="TableContents"/>
              <w:bidi w:val="0"/>
              <w:spacing w:before="0" w:after="0"/>
              <w:jc w:val="center"/>
              <w:rPr>
                <w:b/>
                <w:color w:val="000000"/>
              </w:rPr>
            </w:pPr>
            <w:r>
              <w:rPr>
                <w:b/>
                <w:color w:val="000000"/>
              </w:rPr>
              <w:t>308 Dorla Court, Suite 206 Zephyr Cove, Nevada</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color w:val="000000"/>
              </w:rPr>
            </w:pPr>
            <w:r>
              <w:rPr>
                <w:b/>
                <w:color w:val="000000"/>
              </w:rPr>
              <w:t>89448</w:t>
            </w:r>
          </w:p>
        </w:tc>
      </w:tr>
      <w:tr>
        <w:trPr/>
        <w:tc>
          <w:tcPr>
            <w:tcW w:w="5090" w:type="dxa"/>
            <w:tcBorders/>
            <w:vAlign w:val="center"/>
          </w:tcPr>
          <w:p>
            <w:pPr>
              <w:pStyle w:val="TableContents"/>
              <w:bidi w:val="0"/>
              <w:spacing w:before="0" w:after="0"/>
              <w:jc w:val="center"/>
              <w:rPr>
                <w:b/>
                <w:color w:val="000000"/>
              </w:rPr>
            </w:pPr>
            <w:r>
              <w:rPr>
                <w:b/>
                <w:color w:val="000000"/>
              </w:rPr>
              <w:t>(Address of principal executive offices)</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color w:val="000000"/>
              </w:rPr>
            </w:pPr>
            <w:r>
              <w:rPr>
                <w:b/>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(775) 548-1785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former address and former fiscal year, if changed since last report: N/A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4f75c5edbd64f708fceceddda4e15e7"/>
      <w:bookmarkStart w:id="11" w:name="z14f75c5edbd64f708fceceddda4e15e7"/>
      <w:bookmarkEnd w:id="11"/>
    </w:p>
    <w:tbl>
      <w:tblPr>
        <w:tblW w:w="10205" w:type="dxa"/>
        <w:jc w:val="left"/>
        <w:tblInd w:w="0" w:type="dxa"/>
        <w:tblLayout w:type="fixed"/>
        <w:tblCellMar>
          <w:top w:w="0" w:type="dxa"/>
          <w:left w:w="0" w:type="dxa"/>
          <w:bottom w:w="28" w:type="dxa"/>
          <w:right w:w="0" w:type="dxa"/>
        </w:tblCellMar>
      </w:tblPr>
      <w:tblGrid>
        <w:gridCol w:w="4195"/>
        <w:gridCol w:w="1810"/>
        <w:gridCol w:w="4200"/>
      </w:tblGrid>
      <w:tr>
        <w:trPr/>
        <w:tc>
          <w:tcPr>
            <w:tcW w:w="4195" w:type="dxa"/>
            <w:tcBorders>
              <w:bottom w:val="single" w:sz="12" w:space="0" w:color="000000"/>
            </w:tcBorders>
            <w:vAlign w:val="center"/>
          </w:tcPr>
          <w:p>
            <w:pPr>
              <w:pStyle w:val="TableContents"/>
              <w:bidi w:val="0"/>
              <w:spacing w:before="0" w:after="0"/>
              <w:jc w:val="center"/>
              <w:rPr>
                <w:color w:val="000000"/>
              </w:rPr>
            </w:pPr>
            <w:r>
              <w:rPr>
                <w:color w:val="000000"/>
              </w:rPr>
              <w:t>Title of each class</w:t>
            </w:r>
          </w:p>
        </w:tc>
        <w:tc>
          <w:tcPr>
            <w:tcW w:w="1810" w:type="dxa"/>
            <w:tcBorders>
              <w:bottom w:val="single" w:sz="12" w:space="0" w:color="000000"/>
            </w:tcBorders>
            <w:vAlign w:val="center"/>
          </w:tcPr>
          <w:p>
            <w:pPr>
              <w:pStyle w:val="TableContents"/>
              <w:bidi w:val="0"/>
              <w:spacing w:before="0" w:after="0"/>
              <w:jc w:val="center"/>
              <w:rPr>
                <w:color w:val="000000"/>
              </w:rPr>
            </w:pPr>
            <w:r>
              <w:rPr>
                <w:color w:val="000000"/>
              </w:rPr>
              <w:t>Trading Symbol(s)</w:t>
            </w:r>
          </w:p>
        </w:tc>
        <w:tc>
          <w:tcPr>
            <w:tcW w:w="4200" w:type="dxa"/>
            <w:tcBorders>
              <w:bottom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195" w:type="dxa"/>
            <w:tcBorders/>
            <w:tcMar>
              <w:bottom w:w="0" w:type="dxa"/>
            </w:tcMar>
            <w:vAlign w:val="center"/>
          </w:tcPr>
          <w:p>
            <w:pPr>
              <w:pStyle w:val="TableContents"/>
              <w:bidi w:val="0"/>
              <w:spacing w:before="0" w:after="0"/>
              <w:jc w:val="center"/>
              <w:rPr>
                <w:color w:val="000000"/>
              </w:rPr>
            </w:pPr>
            <w:r>
              <w:rPr>
                <w:color w:val="000000"/>
              </w:rPr>
              <w:t>Common Stock, par value $0.0001 per share</w:t>
            </w:r>
          </w:p>
        </w:tc>
        <w:tc>
          <w:tcPr>
            <w:tcW w:w="1810" w:type="dxa"/>
            <w:tcBorders/>
            <w:tcMar>
              <w:bottom w:w="0" w:type="dxa"/>
            </w:tcMar>
            <w:vAlign w:val="center"/>
          </w:tcPr>
          <w:p>
            <w:pPr>
              <w:pStyle w:val="TableContents"/>
              <w:bidi w:val="0"/>
              <w:spacing w:before="0" w:after="0"/>
              <w:jc w:val="center"/>
              <w:rPr>
                <w:color w:val="000000"/>
              </w:rPr>
            </w:pPr>
            <w:r>
              <w:rPr>
                <w:color w:val="000000"/>
              </w:rPr>
              <w:t>VHC</w:t>
            </w:r>
          </w:p>
        </w:tc>
        <w:tc>
          <w:tcPr>
            <w:tcW w:w="4200" w:type="dxa"/>
            <w:tcBorders/>
            <w:tcMar>
              <w:bottom w:w="0" w:type="dxa"/>
            </w:tcMar>
            <w:vAlign w:val="center"/>
          </w:tcPr>
          <w:p>
            <w:pPr>
              <w:pStyle w:val="TableContents"/>
              <w:bidi w:val="0"/>
              <w:spacing w:before="0" w:after="0"/>
              <w:jc w:val="center"/>
              <w:rPr>
                <w:color w:val="000000"/>
              </w:rPr>
            </w:pPr>
            <w:r>
              <w:rPr>
                <w:color w:val="000000"/>
              </w:rPr>
              <w:t>NASDAQ</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e3317a0869c44bf3a493e7133318f8c9"/>
      <w:bookmarkStart w:id="13" w:name="ze3317a0869c44bf3a493e7133318f8c9"/>
      <w:bookmarkEnd w:id="13"/>
    </w:p>
    <w:tbl>
      <w:tblPr>
        <w:tblW w:w="8190" w:type="dxa"/>
        <w:jc w:val="left"/>
        <w:tblInd w:w="0" w:type="dxa"/>
        <w:tblLayout w:type="fixed"/>
        <w:tblCellMar>
          <w:top w:w="0" w:type="dxa"/>
          <w:left w:w="0" w:type="dxa"/>
          <w:bottom w:w="0" w:type="dxa"/>
          <w:right w:w="0" w:type="dxa"/>
        </w:tblCellMar>
      </w:tblPr>
      <w:tblGrid>
        <w:gridCol w:w="2975"/>
        <w:gridCol w:w="2885"/>
        <w:gridCol w:w="2330"/>
      </w:tblGrid>
      <w:tr>
        <w:trPr/>
        <w:tc>
          <w:tcPr>
            <w:tcW w:w="2975" w:type="dxa"/>
            <w:tcBorders/>
            <w:vAlign w:val="center"/>
          </w:tcPr>
          <w:p>
            <w:pPr>
              <w:pStyle w:val="TableContents"/>
              <w:bidi w:val="0"/>
              <w:spacing w:before="0" w:after="0"/>
              <w:jc w:val="left"/>
              <w:rPr>
                <w:color w:val="000000"/>
              </w:rPr>
            </w:pPr>
            <w:r>
              <w:rPr>
                <w:color w:val="000000"/>
              </w:rPr>
              <w:t>Large accelerated filer ☐</w:t>
            </w:r>
          </w:p>
        </w:tc>
        <w:tc>
          <w:tcPr>
            <w:tcW w:w="2885" w:type="dxa"/>
            <w:tcBorders/>
            <w:vAlign w:val="center"/>
          </w:tcPr>
          <w:p>
            <w:pPr>
              <w:pStyle w:val="TableContents"/>
              <w:bidi w:val="0"/>
              <w:spacing w:before="0" w:after="0"/>
              <w:jc w:val="left"/>
              <w:rPr>
                <w:color w:val="000000"/>
              </w:rPr>
            </w:pPr>
            <w:r>
              <w:rPr>
                <w:color w:val="000000"/>
              </w:rPr>
              <w:t>Accelerated filer ☐</w:t>
            </w:r>
          </w:p>
        </w:tc>
        <w:tc>
          <w:tcPr>
            <w:tcW w:w="2330" w:type="dxa"/>
            <w:tcBorders/>
            <w:vAlign w:val="center"/>
          </w:tcPr>
          <w:p>
            <w:pPr>
              <w:pStyle w:val="TableContents"/>
              <w:bidi w:val="0"/>
              <w:spacing w:before="0" w:after="0"/>
              <w:jc w:val="left"/>
              <w:rPr>
                <w:color w:val="000000"/>
              </w:rPr>
            </w:pPr>
            <w:r>
              <w:rPr>
                <w:color w:val="000000"/>
              </w:rPr>
              <w:t>Non-accelerated filer ☒</w:t>
            </w:r>
          </w:p>
        </w:tc>
      </w:tr>
      <w:tr>
        <w:trPr/>
        <w:tc>
          <w:tcPr>
            <w:tcW w:w="2975" w:type="dxa"/>
            <w:tcBorders/>
            <w:vAlign w:val="center"/>
          </w:tcPr>
          <w:p>
            <w:pPr>
              <w:pStyle w:val="TableContents"/>
              <w:bidi w:val="0"/>
              <w:spacing w:before="0" w:after="0"/>
              <w:jc w:val="left"/>
              <w:rPr>
                <w:color w:val="000000"/>
              </w:rPr>
            </w:pPr>
            <w:r>
              <w:rPr>
                <w:color w:val="000000"/>
              </w:rPr>
              <w:t>Emerging growth company  ☐</w:t>
            </w:r>
          </w:p>
        </w:tc>
        <w:tc>
          <w:tcPr>
            <w:tcW w:w="2885" w:type="dxa"/>
            <w:tcBorders/>
            <w:vAlign w:val="center"/>
          </w:tcPr>
          <w:p>
            <w:pPr>
              <w:pStyle w:val="TableContents"/>
              <w:bidi w:val="0"/>
              <w:spacing w:before="0" w:after="0"/>
              <w:jc w:val="left"/>
              <w:rPr>
                <w:color w:val="000000"/>
              </w:rPr>
            </w:pPr>
            <w:r>
              <w:rPr>
                <w:color w:val="000000"/>
              </w:rPr>
              <w:t>Smaller reporting company ☒</w:t>
            </w:r>
          </w:p>
        </w:tc>
        <w:tc>
          <w:tcPr>
            <w:tcW w:w="233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4,216,633 shares of the registrant’s Common Stock were outstanding as of August 7, 2026.</w:t>
      </w:r>
    </w:p>
    <w:p>
      <w:pPr>
        <w:pStyle w:val="TextBody"/>
        <w:bidi w:val="0"/>
        <w:spacing w:before="0" w:after="0"/>
        <w:jc w:val="both"/>
        <w:rPr>
          <w:color w:val="000000"/>
        </w:rPr>
      </w:pPr>
      <w:r>
        <w:rPr>
          <w:color w:val="00000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SPECIAL NOTE REGARDING FORWARD-LOOKING STATEMENTS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included or incorporated by reference in this Quarterly Report on Form 10-Q (this Report), and from time to time we may make statements that may constitute “forward-looking statements” within the meaning of Section 27A of the Securities Act of 1933, as amended (the Securities Act), and Section 21E of the Securities Exchange Act of 1934, as amended (the Exchange Act). These forward-looking statements are based upon our current expectations, estimates, assumptions, and beliefs concerning future events and conditions and may discuss, among other things, anticipated future performance (including sales and earnings), products and services, expected growth, future business plans and costs (including investments, partnerships and collaborations, marketing and business development, and staffing strategies), the impact of potential litigation, our beliefs and statements regarding general industry and market conditions and growth rates, as well as general domestic and international economic conditions. Any statement that is not historical in nature is a forward-looking statement and may be identified by the use of words and phrases such as “anticipates,” “believes,” “estimates,” “expects,” “intends,” “plans,” “predicts,” “projects,” “will be,” “will continue,” “will likely result in,” and similar expressions. Readers are cautioned not to place undue reliance on forward-looking statements. Forward-looking statements are necessarily subject to risks, uncertainties, and other factors, many of which are outside our control, which could cause actual results to differ materially from such statements and from our historical results and experience. These risks, uncertainties and other factors include, but are not limited to those described in Item 1A – Risk Factors of this Report and elsewhere in this Report and those described from time to time in our reports filed with the Securities and Exchange Commission (SEC). Readers are cautioned that it is not possible to predict or identify all the risks, uncertainties and other factors that may affect future results and that the risks described herein should not be considered a complete list. Any forward-looking statement speaks only as of the date on which such statement is made, and we undertake no obligation to update or revise any forward-looking statement,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Among others, the forward-looking statements appearing in this Report that may not occur include statements that pertain to the activities we have undertaken to commercialize our service offerings, products and patent portfolio in and outside of the United States including VirnetX One™, War Room™, VirnetX Matrix™, our Secured Domain Name Registry and Technology and our service offerings. These statements may imply that the worldwide market for our commercialized products is large and will result in significant future revenue for us. However, our subcontractor engagement, service offerings, and the commercialization of our products are subject to risks and factors beyond our control that may delay or prevent future revenues for us. While historical contracts may imply future revenues for us, we can provide no assurances that we will receive follow-on work or generate material revenue from such activities.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EXCEPT AS REQUIRED BY LAW, WE UNDERTAKE NO OBLIGATION TO UPDATE OR REVISE ANY FORWARD-LOOKING STATEMENT AS A RESULT OF NEW INFORMATION, FUTURE EVENTS OR OTHERWISE.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INDEX</w:t>
      </w:r>
      <w:bookmarkStart w:id="14" w:name="INDEX"/>
      <w:bookmarkEnd w:id="14"/>
    </w:p>
    <w:p>
      <w:pPr>
        <w:pStyle w:val="Normal"/>
        <w:bidi w:val="0"/>
        <w:spacing w:before="0" w:after="0"/>
        <w:jc w:val="left"/>
        <w:rPr>
          <w:sz w:val="4"/>
          <w:szCs w:val="4"/>
        </w:rPr>
      </w:pPr>
      <w:r>
        <w:rPr>
          <w:sz w:val="4"/>
          <w:szCs w:val="4"/>
        </w:rPr>
      </w:r>
      <w:bookmarkStart w:id="15" w:name="zf1073f4dacb64a0fa978da6ed9ebb971"/>
      <w:bookmarkStart w:id="16" w:name="zf1073f4dacb64a0fa978da6ed9ebb971"/>
      <w:bookmarkEnd w:id="16"/>
    </w:p>
    <w:tbl>
      <w:tblPr>
        <w:tblW w:w="10205" w:type="dxa"/>
        <w:jc w:val="left"/>
        <w:tblInd w:w="0" w:type="dxa"/>
        <w:tblLayout w:type="fixed"/>
        <w:tblCellMar>
          <w:top w:w="0" w:type="dxa"/>
          <w:left w:w="0" w:type="dxa"/>
          <w:bottom w:w="0" w:type="dxa"/>
          <w:right w:w="0" w:type="dxa"/>
        </w:tblCellMar>
      </w:tblPr>
      <w:tblGrid>
        <w:gridCol w:w="90"/>
        <w:gridCol w:w="9540"/>
        <w:gridCol w:w="575"/>
      </w:tblGrid>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right"/>
              <w:rPr>
                <w:b/>
                <w:color w:val="000000"/>
              </w:rPr>
            </w:pPr>
            <w:r>
              <w:rPr>
                <w:b/>
                <w:color w:val="000000"/>
              </w:rPr>
              <w:t>Page</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9630" w:type="dxa"/>
            <w:gridSpan w:val="2"/>
            <w:tcBorders/>
            <w:shd w:fill="CCEEFF" w:val="clear"/>
            <w:vAlign w:val="center"/>
          </w:tcPr>
          <w:p>
            <w:pPr>
              <w:pStyle w:val="TableContents"/>
              <w:bidi w:val="0"/>
              <w:spacing w:before="0" w:after="0"/>
              <w:jc w:val="left"/>
              <w:rPr/>
            </w:pPr>
            <w:hyperlink w:anchor="FINANCIALINFORMATION">
              <w:r>
                <w:rPr>
                  <w:rStyle w:val="InternetLink"/>
                </w:rPr>
                <w:t>PART I — FINANCIAL INFORMATION</w:t>
              </w:r>
            </w:hyperlink>
          </w:p>
        </w:tc>
        <w:tc>
          <w:tcPr>
            <w:tcW w:w="575" w:type="dxa"/>
            <w:tcBorders/>
            <w:shd w:fill="CCEEFF" w:val="clear"/>
            <w:vAlign w:val="center"/>
          </w:tcPr>
          <w:p>
            <w:pPr>
              <w:pStyle w:val="TableContents"/>
              <w:bidi w:val="0"/>
              <w:spacing w:before="0" w:after="0"/>
              <w:jc w:val="right"/>
              <w:rPr>
                <w:color w:val="000000"/>
              </w:rPr>
            </w:pPr>
            <w:r>
              <w:rPr>
                <w:color w:val="000000"/>
              </w:rPr>
              <w:t>1</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FINANCIALSTATEMENTS.">
              <w:r>
                <w:rPr>
                  <w:rStyle w:val="InternetLink"/>
                </w:rPr>
                <w:t>Item 1 — Financial Statements</w:t>
              </w:r>
            </w:hyperlink>
          </w:p>
        </w:tc>
        <w:tc>
          <w:tcPr>
            <w:tcW w:w="575" w:type="dxa"/>
            <w:tcBorders/>
            <w:vAlign w:val="center"/>
          </w:tcPr>
          <w:p>
            <w:pPr>
              <w:pStyle w:val="TableContents"/>
              <w:bidi w:val="0"/>
              <w:spacing w:before="0" w:after="0"/>
              <w:jc w:val="right"/>
              <w:rPr>
                <w:color w:val="000000"/>
              </w:rPr>
            </w:pPr>
            <w:r>
              <w:rPr>
                <w:color w:val="000000"/>
              </w:rPr>
              <w:t>1</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BALANCESHEETS">
              <w:r>
                <w:rPr>
                  <w:rStyle w:val="InternetLink"/>
                </w:rPr>
                <w:t>Condensed Consolidated Balance Sheets at June 30, 2026 (unaudited) and December 31, 2025</w:t>
              </w:r>
            </w:hyperlink>
          </w:p>
        </w:tc>
        <w:tc>
          <w:tcPr>
            <w:tcW w:w="575" w:type="dxa"/>
            <w:tcBorders/>
            <w:shd w:fill="CCEEFF" w:val="clear"/>
            <w:vAlign w:val="center"/>
          </w:tcPr>
          <w:p>
            <w:pPr>
              <w:pStyle w:val="TableContents"/>
              <w:bidi w:val="0"/>
              <w:spacing w:before="0" w:after="0"/>
              <w:jc w:val="right"/>
              <w:rPr>
                <w:color w:val="000000"/>
              </w:rPr>
            </w:pPr>
            <w:r>
              <w:rPr>
                <w:color w:val="000000"/>
              </w:rPr>
              <w:t>1</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STATEMENTSOFOPERATIONS">
              <w:r>
                <w:rPr>
                  <w:rStyle w:val="InternetLink"/>
                </w:rPr>
                <w:t>Condensed Consolidated Statements of Operations for the three and six months ended June 30, 2026 and 2025 (unaudited)</w:t>
              </w:r>
            </w:hyperlink>
          </w:p>
        </w:tc>
        <w:tc>
          <w:tcPr>
            <w:tcW w:w="575" w:type="dxa"/>
            <w:tcBorders/>
            <w:vAlign w:val="center"/>
          </w:tcPr>
          <w:p>
            <w:pPr>
              <w:pStyle w:val="TableContents"/>
              <w:bidi w:val="0"/>
              <w:spacing w:before="0" w:after="0"/>
              <w:jc w:val="right"/>
              <w:rPr>
                <w:color w:val="000000"/>
              </w:rPr>
            </w:pPr>
            <w:r>
              <w:rPr>
                <w:color w:val="000000"/>
              </w:rPr>
              <w:t>2</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COMPREHENSIVELOSS">
              <w:r>
                <w:rPr>
                  <w:rStyle w:val="InternetLink"/>
                </w:rPr>
                <w:t>Condensed Consolidated Statements of Comprehensive Loss for the three and six months ended June 30, 2026 and 2025 (unaudited)</w:t>
              </w:r>
            </w:hyperlink>
          </w:p>
        </w:tc>
        <w:tc>
          <w:tcPr>
            <w:tcW w:w="575" w:type="dxa"/>
            <w:tcBorders/>
            <w:shd w:fill="CCEEFF" w:val="clear"/>
            <w:vAlign w:val="center"/>
          </w:tcPr>
          <w:p>
            <w:pPr>
              <w:pStyle w:val="TableContents"/>
              <w:bidi w:val="0"/>
              <w:spacing w:before="0" w:after="0"/>
              <w:jc w:val="right"/>
              <w:rPr>
                <w:color w:val="000000"/>
              </w:rPr>
            </w:pPr>
            <w:r>
              <w:rPr>
                <w:color w:val="000000"/>
              </w:rPr>
              <w:t>3</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SHAREHOLDERSEQUITY">
              <w:r>
                <w:rPr>
                  <w:rStyle w:val="InternetLink"/>
                </w:rPr>
                <w:t>Condensed Consolidated Statements of Shareholders’ Equity for the three and six months ended June 30, 2026 and 2025 (unaudited)</w:t>
              </w:r>
            </w:hyperlink>
          </w:p>
        </w:tc>
        <w:tc>
          <w:tcPr>
            <w:tcW w:w="575" w:type="dxa"/>
            <w:tcBorders/>
            <w:vAlign w:val="center"/>
          </w:tcPr>
          <w:p>
            <w:pPr>
              <w:pStyle w:val="TableContents"/>
              <w:bidi w:val="0"/>
              <w:spacing w:before="0" w:after="0"/>
              <w:jc w:val="right"/>
              <w:rPr>
                <w:color w:val="000000"/>
              </w:rPr>
            </w:pPr>
            <w:r>
              <w:rPr>
                <w:color w:val="000000"/>
              </w:rPr>
              <w:t>4</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CASHFLOWS">
              <w:r>
                <w:rPr>
                  <w:rStyle w:val="InternetLink"/>
                </w:rPr>
                <w:t>Condensed Consolidated Statements of Cash Flows for the six months ended June 30, 2026 and 2025 (unaudited)</w:t>
              </w:r>
            </w:hyperlink>
          </w:p>
        </w:tc>
        <w:tc>
          <w:tcPr>
            <w:tcW w:w="575" w:type="dxa"/>
            <w:tcBorders/>
            <w:shd w:fill="CCEEFF" w:val="clear"/>
            <w:vAlign w:val="center"/>
          </w:tcPr>
          <w:p>
            <w:pPr>
              <w:pStyle w:val="TableContents"/>
              <w:bidi w:val="0"/>
              <w:spacing w:before="0" w:after="0"/>
              <w:jc w:val="right"/>
              <w:rPr>
                <w:color w:val="000000"/>
              </w:rPr>
            </w:pPr>
            <w:r>
              <w:rPr>
                <w:color w:val="000000"/>
              </w:rPr>
              <w:t>5</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NOTESTOCONDENSEDCONSOLIDA">
              <w:r>
                <w:rPr>
                  <w:rStyle w:val="InternetLink"/>
                </w:rPr>
                <w:t>Notes to Condensed Consolidated Financial Statements</w:t>
              </w:r>
            </w:hyperlink>
          </w:p>
        </w:tc>
        <w:tc>
          <w:tcPr>
            <w:tcW w:w="575" w:type="dxa"/>
            <w:tcBorders/>
            <w:vAlign w:val="center"/>
          </w:tcPr>
          <w:p>
            <w:pPr>
              <w:pStyle w:val="TableContents"/>
              <w:bidi w:val="0"/>
              <w:spacing w:before="0" w:after="0"/>
              <w:jc w:val="right"/>
              <w:rPr>
                <w:color w:val="000000"/>
              </w:rPr>
            </w:pPr>
            <w:r>
              <w:rPr>
                <w:color w:val="000000"/>
              </w:rPr>
              <w:t>6</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ITEM2">
              <w:r>
                <w:rPr>
                  <w:rStyle w:val="InternetLink"/>
                </w:rPr>
                <w:t>Item 2 — Management’s Discussion and Analysis of Financial Condition and Results of Operations</w:t>
              </w:r>
            </w:hyperlink>
          </w:p>
        </w:tc>
        <w:tc>
          <w:tcPr>
            <w:tcW w:w="575" w:type="dxa"/>
            <w:tcBorders/>
            <w:shd w:fill="CCEEFF" w:val="clear"/>
            <w:vAlign w:val="center"/>
          </w:tcPr>
          <w:p>
            <w:pPr>
              <w:pStyle w:val="TableContents"/>
              <w:bidi w:val="0"/>
              <w:spacing w:before="0" w:after="0"/>
              <w:jc w:val="right"/>
              <w:rPr>
                <w:color w:val="000000"/>
              </w:rPr>
            </w:pPr>
            <w:r>
              <w:rPr>
                <w:color w:val="000000"/>
              </w:rPr>
              <w:t>14</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ITEM3">
              <w:r>
                <w:rPr>
                  <w:rStyle w:val="InternetLink"/>
                </w:rPr>
                <w:t>Item 3 — Quantitative and Qualitative Disclosures About Market Risk</w:t>
              </w:r>
            </w:hyperlink>
          </w:p>
        </w:tc>
        <w:tc>
          <w:tcPr>
            <w:tcW w:w="575" w:type="dxa"/>
            <w:tcBorders/>
            <w:vAlign w:val="center"/>
          </w:tcPr>
          <w:p>
            <w:pPr>
              <w:pStyle w:val="TableContents"/>
              <w:bidi w:val="0"/>
              <w:spacing w:before="0" w:after="0"/>
              <w:jc w:val="right"/>
              <w:rPr>
                <w:color w:val="000000"/>
              </w:rPr>
            </w:pPr>
            <w:r>
              <w:rPr>
                <w:color w:val="000000"/>
              </w:rPr>
              <w:t>17</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ITEM4">
              <w:r>
                <w:rPr>
                  <w:rStyle w:val="InternetLink"/>
                </w:rPr>
                <w:t>Item 4 — Controls and Procedures</w:t>
              </w:r>
            </w:hyperlink>
          </w:p>
        </w:tc>
        <w:tc>
          <w:tcPr>
            <w:tcW w:w="575" w:type="dxa"/>
            <w:tcBorders/>
            <w:shd w:fill="CCEEFF" w:val="clear"/>
            <w:vAlign w:val="center"/>
          </w:tcPr>
          <w:p>
            <w:pPr>
              <w:pStyle w:val="TableContents"/>
              <w:bidi w:val="0"/>
              <w:spacing w:before="0" w:after="0"/>
              <w:jc w:val="right"/>
              <w:rPr>
                <w:color w:val="000000"/>
              </w:rPr>
            </w:pPr>
            <w:r>
              <w:rPr>
                <w:color w:val="000000"/>
              </w:rPr>
              <w:t>17</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9630" w:type="dxa"/>
            <w:gridSpan w:val="2"/>
            <w:tcBorders/>
            <w:shd w:fill="CCEEFF" w:val="clear"/>
            <w:vAlign w:val="center"/>
          </w:tcPr>
          <w:p>
            <w:pPr>
              <w:pStyle w:val="TableContents"/>
              <w:bidi w:val="0"/>
              <w:spacing w:before="0" w:after="0"/>
              <w:jc w:val="left"/>
              <w:rPr/>
            </w:pPr>
            <w:hyperlink w:anchor="OTHERINFORMATION">
              <w:r>
                <w:rPr>
                  <w:rStyle w:val="InternetLink"/>
                </w:rPr>
                <w:t>PART II — OTHER INFORMATION</w:t>
              </w:r>
            </w:hyperlink>
          </w:p>
        </w:tc>
        <w:tc>
          <w:tcPr>
            <w:tcW w:w="575" w:type="dxa"/>
            <w:tcBorders/>
            <w:shd w:fill="CCEEFF" w:val="clear"/>
            <w:vAlign w:val="center"/>
          </w:tcPr>
          <w:p>
            <w:pPr>
              <w:pStyle w:val="TableContents"/>
              <w:bidi w:val="0"/>
              <w:spacing w:before="0" w:after="0"/>
              <w:jc w:val="right"/>
              <w:rPr>
                <w:color w:val="000000"/>
              </w:rPr>
            </w:pPr>
            <w:r>
              <w:rPr>
                <w:color w:val="000000"/>
              </w:rPr>
              <w:t>17</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LEGALPROCEEDINGS">
              <w:r>
                <w:rPr>
                  <w:rStyle w:val="InternetLink"/>
                </w:rPr>
                <w:t>Item 1 — Legal Proceedings</w:t>
              </w:r>
            </w:hyperlink>
          </w:p>
        </w:tc>
        <w:tc>
          <w:tcPr>
            <w:tcW w:w="575" w:type="dxa"/>
            <w:tcBorders/>
            <w:vAlign w:val="center"/>
          </w:tcPr>
          <w:p>
            <w:pPr>
              <w:pStyle w:val="TableContents"/>
              <w:bidi w:val="0"/>
              <w:spacing w:before="0" w:after="0"/>
              <w:jc w:val="right"/>
              <w:rPr>
                <w:color w:val="000000"/>
              </w:rPr>
            </w:pPr>
            <w:r>
              <w:rPr>
                <w:color w:val="000000"/>
              </w:rPr>
              <w:t>17</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RISKFACTORS">
              <w:r>
                <w:rPr>
                  <w:rStyle w:val="InternetLink"/>
                </w:rPr>
                <w:t>Item 1A — Risk Factors</w:t>
              </w:r>
            </w:hyperlink>
          </w:p>
        </w:tc>
        <w:tc>
          <w:tcPr>
            <w:tcW w:w="575" w:type="dxa"/>
            <w:tcBorders/>
            <w:shd w:fill="CCEEFF" w:val="clear"/>
            <w:vAlign w:val="center"/>
          </w:tcPr>
          <w:p>
            <w:pPr>
              <w:pStyle w:val="TableContents"/>
              <w:bidi w:val="0"/>
              <w:spacing w:before="0" w:after="0"/>
              <w:jc w:val="right"/>
              <w:rPr>
                <w:color w:val="000000"/>
              </w:rPr>
            </w:pPr>
            <w:r>
              <w:rPr>
                <w:color w:val="000000"/>
              </w:rPr>
              <w:t>18</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0"/>
              <w:jc w:val="left"/>
              <w:rPr/>
            </w:pPr>
            <w:hyperlink w:anchor="ITEM5">
              <w:r>
                <w:rPr>
                  <w:rStyle w:val="InternetLink"/>
                </w:rPr>
                <w:t>Item 5 — Other Information</w:t>
              </w:r>
            </w:hyperlink>
          </w:p>
        </w:tc>
        <w:tc>
          <w:tcPr>
            <w:tcW w:w="575" w:type="dxa"/>
            <w:tcBorders/>
            <w:vAlign w:val="center"/>
          </w:tcPr>
          <w:p>
            <w:pPr>
              <w:pStyle w:val="TableContents"/>
              <w:bidi w:val="0"/>
              <w:spacing w:before="0" w:after="0"/>
              <w:jc w:val="right"/>
              <w:rPr>
                <w:color w:val="000000"/>
              </w:rPr>
            </w:pPr>
            <w:r>
              <w:rPr>
                <w:color w:val="000000"/>
              </w:rPr>
              <w:t>29</w:t>
            </w:r>
          </w:p>
        </w:tc>
      </w:tr>
      <w:tr>
        <w:trPr/>
        <w:tc>
          <w:tcPr>
            <w:tcW w:w="90" w:type="dxa"/>
            <w:tcBorders/>
            <w:shd w:fill="CCEEFF" w:val="clear"/>
            <w:vAlign w:val="center"/>
          </w:tcPr>
          <w:p>
            <w:pPr>
              <w:pStyle w:val="TableContents"/>
              <w:bidi w:val="0"/>
              <w:spacing w:before="0" w:after="283"/>
              <w:jc w:val="left"/>
              <w:rPr/>
            </w:pPr>
            <w:r>
              <w:rPr/>
              <w:t> </w:t>
            </w:r>
          </w:p>
        </w:tc>
        <w:tc>
          <w:tcPr>
            <w:tcW w:w="9540" w:type="dxa"/>
            <w:tcBorders/>
            <w:shd w:fill="CCEEFF" w:val="clear"/>
            <w:vAlign w:val="center"/>
          </w:tcPr>
          <w:p>
            <w:pPr>
              <w:pStyle w:val="TableContents"/>
              <w:bidi w:val="0"/>
              <w:spacing w:before="0" w:after="0"/>
              <w:jc w:val="left"/>
              <w:rPr/>
            </w:pPr>
            <w:hyperlink w:anchor="ITEM6">
              <w:r>
                <w:rPr>
                  <w:rStyle w:val="InternetLink"/>
                </w:rPr>
                <w:t>Item 6 — Exhibits</w:t>
              </w:r>
            </w:hyperlink>
          </w:p>
        </w:tc>
        <w:tc>
          <w:tcPr>
            <w:tcW w:w="575" w:type="dxa"/>
            <w:tcBorders/>
            <w:shd w:fill="CCEEFF" w:val="clear"/>
            <w:vAlign w:val="center"/>
          </w:tcPr>
          <w:p>
            <w:pPr>
              <w:pStyle w:val="TableContents"/>
              <w:bidi w:val="0"/>
              <w:spacing w:before="0" w:after="283"/>
              <w:jc w:val="right"/>
              <w:rPr/>
            </w:pPr>
            <w:r>
              <w:rPr/>
              <w:t>31</w:t>
            </w:r>
          </w:p>
        </w:tc>
      </w:tr>
      <w:tr>
        <w:trPr/>
        <w:tc>
          <w:tcPr>
            <w:tcW w:w="9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9630" w:type="dxa"/>
            <w:gridSpan w:val="2"/>
            <w:tcBorders/>
            <w:shd w:fill="CCEEFF" w:val="clear"/>
            <w:vAlign w:val="center"/>
          </w:tcPr>
          <w:p>
            <w:pPr>
              <w:pStyle w:val="TableContents"/>
              <w:bidi w:val="0"/>
              <w:spacing w:before="0" w:after="0"/>
              <w:jc w:val="left"/>
              <w:rPr/>
            </w:pPr>
            <w:hyperlink w:anchor="SIGNATURES">
              <w:r>
                <w:rPr>
                  <w:rStyle w:val="InternetLink"/>
                </w:rPr>
                <w:t>SIGNATURES</w:t>
              </w:r>
            </w:hyperlink>
          </w:p>
        </w:tc>
        <w:tc>
          <w:tcPr>
            <w:tcW w:w="575" w:type="dxa"/>
            <w:tcBorders/>
            <w:shd w:fill="CCEEFF" w:val="clear"/>
            <w:vAlign w:val="center"/>
          </w:tcPr>
          <w:p>
            <w:pPr>
              <w:pStyle w:val="TableContents"/>
              <w:bidi w:val="0"/>
              <w:spacing w:before="0" w:after="0"/>
              <w:jc w:val="right"/>
              <w:rPr>
                <w:color w:val="000000"/>
              </w:rPr>
            </w:pPr>
            <w:r>
              <w:rPr>
                <w:color w:val="000000"/>
              </w:rPr>
              <w:t>32</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 — FINANCIAL INFORMATION</w:t>
      </w:r>
      <w:bookmarkStart w:id="17" w:name="FINANCIALINFORMATION"/>
      <w:bookmarkEnd w:id="17"/>
    </w:p>
    <w:p>
      <w:pPr>
        <w:pStyle w:val="TextBody"/>
        <w:bidi w:val="0"/>
        <w:spacing w:before="0" w:after="0"/>
        <w:jc w:val="center"/>
        <w:rPr>
          <w:b/>
          <w:color w:val="000000"/>
        </w:rPr>
      </w:pPr>
      <w:r>
        <w:rPr>
          <w:b/>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1-FINANCIAL STATEMENTS.</w:t>
      </w:r>
      <w:bookmarkStart w:id="18" w:name="FINANCIALSTATEMENTS."/>
      <w:bookmarkEnd w:id="18"/>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CONSOLIDATED BALANCE SHEETS</w:t>
      </w:r>
      <w:bookmarkStart w:id="19" w:name="BALANCESHEETS"/>
      <w:bookmarkEnd w:id="19"/>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amounts)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8c4ea920a5b94b9b84b76d207b8c7140"/>
      <w:bookmarkStart w:id="21" w:name="z8c4ea920a5b94b9b84b76d207b8c7140"/>
      <w:bookmarkEnd w:id="21"/>
    </w:p>
    <w:tbl>
      <w:tblPr>
        <w:tblW w:w="10205" w:type="dxa"/>
        <w:jc w:val="left"/>
        <w:tblInd w:w="0" w:type="dxa"/>
        <w:tblLayout w:type="fixed"/>
        <w:tblCellMar>
          <w:top w:w="0" w:type="dxa"/>
          <w:left w:w="0" w:type="dxa"/>
          <w:bottom w:w="0" w:type="dxa"/>
          <w:right w:w="0" w:type="dxa"/>
        </w:tblCellMar>
      </w:tblPr>
      <w:tblGrid>
        <w:gridCol w:w="7463"/>
        <w:gridCol w:w="90"/>
        <w:gridCol w:w="172"/>
        <w:gridCol w:w="918"/>
        <w:gridCol w:w="125"/>
        <w:gridCol w:w="90"/>
        <w:gridCol w:w="187"/>
        <w:gridCol w:w="1003"/>
        <w:gridCol w:w="157"/>
      </w:tblGrid>
      <w:tr>
        <w:trPr/>
        <w:tc>
          <w:tcPr>
            <w:tcW w:w="746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w:t>
            </w:r>
          </w:p>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w:t>
            </w:r>
          </w:p>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57"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0"/>
              <w:jc w:val="center"/>
              <w:rPr>
                <w:color w:val="000000"/>
              </w:rPr>
            </w:pPr>
            <w:r>
              <w:rPr>
                <w:color w:val="000000"/>
              </w:rPr>
              <w:t>(unaudited)</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center"/>
              <w:rPr>
                <w:b/>
                <w:color w:val="000000"/>
              </w:rPr>
            </w:pPr>
            <w:r>
              <w:rPr>
                <w:b/>
                <w:color w:val="000000"/>
              </w:rPr>
              <w:t>ASSETS</w:t>
            </w:r>
          </w:p>
        </w:tc>
        <w:tc>
          <w:tcPr>
            <w:tcW w:w="90"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Current assets:</w:t>
            </w:r>
          </w:p>
        </w:tc>
        <w:tc>
          <w:tcPr>
            <w:tcW w:w="90"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918" w:type="dxa"/>
            <w:tcBorders/>
            <w:shd w:fill="CCEEFF" w:val="clear"/>
            <w:vAlign w:val="bottom"/>
          </w:tcPr>
          <w:p>
            <w:pPr>
              <w:pStyle w:val="TableContents"/>
              <w:bidi w:val="0"/>
              <w:spacing w:before="0" w:after="0"/>
              <w:jc w:val="right"/>
              <w:rPr>
                <w:color w:val="000000"/>
              </w:rPr>
            </w:pPr>
            <w:r>
              <w:rPr>
                <w:color w:val="000000"/>
              </w:rPr>
              <w:t>13,090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1003" w:type="dxa"/>
            <w:tcBorders/>
            <w:shd w:fill="CCEEFF" w:val="clear"/>
            <w:vAlign w:val="bottom"/>
          </w:tcPr>
          <w:p>
            <w:pPr>
              <w:pStyle w:val="TableContents"/>
              <w:bidi w:val="0"/>
              <w:spacing w:before="0" w:after="0"/>
              <w:jc w:val="right"/>
              <w:rPr>
                <w:color w:val="000000"/>
              </w:rPr>
            </w:pPr>
            <w:r>
              <w:rPr>
                <w:color w:val="000000"/>
              </w:rPr>
              <w:t>15,548</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Investments available for sale</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799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5,979</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Accounts receivable</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19</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Prepaid expenses and other current assets</w:t>
            </w:r>
          </w:p>
        </w:tc>
        <w:tc>
          <w:tcPr>
            <w:tcW w:w="9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b/>
                <w:color w:val="000000"/>
              </w:rPr>
            </w:pPr>
            <w:r>
              <w:rPr>
                <w:b/>
                <w:color w:val="000000"/>
              </w:rPr>
              <w:t>Total current assets</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14,106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21,666</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Prepaid expenses and other assets</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6,811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7,335</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Other investments at cost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2,000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2,000</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Property and equipment, net</w:t>
            </w:r>
          </w:p>
        </w:tc>
        <w:tc>
          <w:tcPr>
            <w:tcW w:w="9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b/>
                <w:color w:val="000000"/>
              </w:rPr>
            </w:pPr>
            <w:r>
              <w:rPr>
                <w:b/>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22,973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31,062</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center"/>
              <w:rPr>
                <w:b/>
                <w:color w:val="000000"/>
              </w:rPr>
            </w:pPr>
            <w:r>
              <w:rPr>
                <w:b/>
                <w:color w:val="000000"/>
              </w:rPr>
              <w:t>LIABILITIES AND SHAREHOLDERS’ EQUITY</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Current liabilities:</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Accounts payable and accrued liabilities</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918" w:type="dxa"/>
            <w:tcBorders/>
            <w:shd w:fill="CCEEFF" w:val="clear"/>
            <w:vAlign w:val="bottom"/>
          </w:tcPr>
          <w:p>
            <w:pPr>
              <w:pStyle w:val="TableContents"/>
              <w:bidi w:val="0"/>
              <w:spacing w:before="0" w:after="0"/>
              <w:jc w:val="right"/>
              <w:rPr>
                <w:color w:val="000000"/>
              </w:rPr>
            </w:pPr>
            <w:r>
              <w:rPr>
                <w:color w:val="000000"/>
              </w:rPr>
              <w:t>498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1003" w:type="dxa"/>
            <w:tcBorders/>
            <w:shd w:fill="CCEEFF" w:val="clear"/>
            <w:vAlign w:val="bottom"/>
          </w:tcPr>
          <w:p>
            <w:pPr>
              <w:pStyle w:val="TableContents"/>
              <w:bidi w:val="0"/>
              <w:spacing w:before="0" w:after="0"/>
              <w:jc w:val="right"/>
              <w:rPr>
                <w:color w:val="000000"/>
              </w:rPr>
            </w:pPr>
            <w:r>
              <w:rPr>
                <w:color w:val="000000"/>
              </w:rPr>
              <w:t>388</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Accrued payroll and related expenses</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300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255</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Other liabilities, current</w:t>
            </w:r>
          </w:p>
        </w:tc>
        <w:tc>
          <w:tcPr>
            <w:tcW w:w="9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1,461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1,382</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b/>
                <w:color w:val="000000"/>
              </w:rPr>
            </w:pPr>
            <w:r>
              <w:rPr>
                <w:b/>
                <w:color w:val="000000"/>
              </w:rPr>
              <w:t>Total current liabilities</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2,259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2,025</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6,563</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b/>
                <w:color w:val="000000"/>
              </w:rPr>
            </w:pPr>
            <w:r>
              <w:rPr>
                <w:b/>
                <w:color w:val="000000"/>
              </w:rPr>
              <w:t>Total liabilities</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7,911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8,588</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Commitments and contingencies (Note 4)</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Shareholders’ equity:</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Preferred stock, par value $0.0001 per share Authorized: 10,000,000 shares at June 30, 2026, and December 31, 2025; Issued and outstanding: 0 shares at June 30, 2026, and December 31, 2025</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Common stock, par value $0.0001 per share Authorized: 100,000,000 shares at June 30, 2026 and December 31, 2025; Issued and outstanding: 4,217,203 shares at June 30, 2026 and 4,201,948 at December 31, 2025</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Additional paid-in capital</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246,866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245,390</w:t>
            </w:r>
          </w:p>
        </w:tc>
        <w:tc>
          <w:tcPr>
            <w:tcW w:w="157"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0"/>
              <w:ind w:left="144" w:right="0" w:hanging="144"/>
              <w:jc w:val="left"/>
              <w:rPr>
                <w:color w:val="000000"/>
              </w:rPr>
            </w:pPr>
            <w:r>
              <w:rPr>
                <w:color w:val="000000"/>
              </w:rPr>
              <w:t>Accumulated deficit</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(231,776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(222,895</w:t>
            </w:r>
          </w:p>
        </w:tc>
        <w:tc>
          <w:tcPr>
            <w:tcW w:w="157" w:type="dxa"/>
            <w:tcBorders/>
            <w:vAlign w:val="bottom"/>
          </w:tcPr>
          <w:p>
            <w:pPr>
              <w:pStyle w:val="TableContents"/>
              <w:bidi w:val="0"/>
              <w:spacing w:before="0" w:after="0"/>
              <w:jc w:val="left"/>
              <w:rPr>
                <w:color w:val="000000"/>
              </w:rPr>
            </w:pPr>
            <w:r>
              <w:rPr>
                <w:color w:val="000000"/>
              </w:rPr>
              <w:t>)</w:t>
            </w:r>
          </w:p>
        </w:tc>
      </w:tr>
      <w:tr>
        <w:trPr/>
        <w:tc>
          <w:tcPr>
            <w:tcW w:w="7463" w:type="dxa"/>
            <w:tcBorders/>
            <w:shd w:fill="CCEEFF" w:val="clear"/>
            <w:vAlign w:val="bottom"/>
          </w:tcPr>
          <w:p>
            <w:pPr>
              <w:pStyle w:val="TableContents"/>
              <w:bidi w:val="0"/>
              <w:spacing w:before="0" w:after="0"/>
              <w:ind w:left="144" w:right="0" w:hanging="144"/>
              <w:jc w:val="left"/>
              <w:rPr>
                <w:color w:val="000000"/>
              </w:rPr>
            </w:pPr>
            <w:r>
              <w:rPr>
                <w:color w:val="000000"/>
              </w:rPr>
              <w:t>Accumulated other comprehensive loss</w:t>
            </w:r>
          </w:p>
        </w:tc>
        <w:tc>
          <w:tcPr>
            <w:tcW w:w="9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w:t>
            </w:r>
          </w:p>
        </w:tc>
        <w:tc>
          <w:tcPr>
            <w:tcW w:w="157" w:type="dxa"/>
            <w:tcBorders/>
            <w:shd w:fill="CCEEFF" w:val="clear"/>
            <w:vAlign w:val="bottom"/>
          </w:tcPr>
          <w:p>
            <w:pPr>
              <w:pStyle w:val="TableContents"/>
              <w:bidi w:val="0"/>
              <w:spacing w:before="0" w:after="0"/>
              <w:jc w:val="left"/>
              <w:rPr>
                <w:color w:val="000000"/>
              </w:rPr>
            </w:pPr>
            <w:r>
              <w:rPr>
                <w:color w:val="000000"/>
              </w:rPr>
              <w:t>)</w:t>
            </w:r>
          </w:p>
        </w:tc>
      </w:tr>
      <w:tr>
        <w:trPr/>
        <w:tc>
          <w:tcPr>
            <w:tcW w:w="7463" w:type="dxa"/>
            <w:tcBorders/>
            <w:vAlign w:val="bottom"/>
          </w:tcPr>
          <w:p>
            <w:pPr>
              <w:pStyle w:val="TableContents"/>
              <w:bidi w:val="0"/>
              <w:spacing w:before="0" w:after="0"/>
              <w:ind w:left="144" w:right="0" w:hanging="144"/>
              <w:jc w:val="left"/>
              <w:rPr>
                <w:b/>
                <w:color w:val="000000"/>
              </w:rPr>
            </w:pPr>
            <w:r>
              <w:rPr>
                <w:b/>
                <w:color w:val="000000"/>
              </w:rPr>
              <w:t>Total shareholders’ equity</w:t>
            </w:r>
          </w:p>
        </w:tc>
        <w:tc>
          <w:tcPr>
            <w:tcW w:w="9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22,474</w:t>
            </w:r>
          </w:p>
        </w:tc>
        <w:tc>
          <w:tcPr>
            <w:tcW w:w="157" w:type="dxa"/>
            <w:tcBorders/>
            <w:vAlign w:val="bottom"/>
          </w:tcPr>
          <w:p>
            <w:pPr>
              <w:pStyle w:val="TableContents"/>
              <w:bidi w:val="0"/>
              <w:spacing w:before="0" w:after="283"/>
              <w:jc w:val="left"/>
              <w:rPr/>
            </w:pPr>
            <w:r>
              <w:rPr/>
              <w:t> </w:t>
            </w:r>
          </w:p>
        </w:tc>
      </w:tr>
      <w:tr>
        <w:trPr/>
        <w:tc>
          <w:tcPr>
            <w:tcW w:w="7463" w:type="dxa"/>
            <w:tcBorders/>
            <w:shd w:fill="CCEEFF" w:val="clear"/>
            <w:vAlign w:val="bottom"/>
          </w:tcPr>
          <w:p>
            <w:pPr>
              <w:pStyle w:val="TableContents"/>
              <w:bidi w:val="0"/>
              <w:spacing w:before="0" w:after="0"/>
              <w:ind w:left="144" w:right="0" w:hanging="144"/>
              <w:jc w:val="left"/>
              <w:rPr>
                <w:b/>
                <w:color w:val="000000"/>
              </w:rPr>
            </w:pPr>
            <w:r>
              <w:rPr>
                <w:b/>
                <w:color w:val="000000"/>
              </w:rPr>
              <w:t>Total liabilities and shareholders’ equity</w:t>
            </w:r>
          </w:p>
        </w:tc>
        <w:tc>
          <w:tcPr>
            <w:tcW w:w="9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22,973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31,062</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condensed consolidated financial statements.</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CONSOLIDATED STATEMENTS OF OPERATIONS</w:t>
      </w:r>
      <w:bookmarkStart w:id="22" w:name="STATEMENTSOFOPERATIONS"/>
      <w:bookmarkEnd w:id="22"/>
      <w:r>
        <w:rPr>
          <w:rFonts w:ascii="Times New Roman" w:hAnsi="Times New Roman"/>
          <w:b/>
          <w:color w:val="000000"/>
          <w:sz w:val="20"/>
          <w:shd w:fill="FFFFFF" w:val="clear"/>
        </w:rPr>
        <w:t xml:space="preserve"> (Unaudited)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per share amounts)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z880ae09670704306a4f4e373c25242f1"/>
      <w:bookmarkStart w:id="24" w:name="z880ae09670704306a4f4e373c25242f1"/>
      <w:bookmarkEnd w:id="24"/>
    </w:p>
    <w:tbl>
      <w:tblPr>
        <w:tblW w:w="9034" w:type="dxa"/>
        <w:jc w:val="left"/>
        <w:tblInd w:w="0" w:type="dxa"/>
        <w:tblLayout w:type="fixed"/>
        <w:tblCellMar>
          <w:top w:w="0" w:type="dxa"/>
          <w:left w:w="0" w:type="dxa"/>
          <w:bottom w:w="0" w:type="dxa"/>
          <w:right w:w="0" w:type="dxa"/>
        </w:tblCellMar>
      </w:tblPr>
      <w:tblGrid>
        <w:gridCol w:w="4400"/>
        <w:gridCol w:w="90"/>
        <w:gridCol w:w="202"/>
        <w:gridCol w:w="790"/>
        <w:gridCol w:w="148"/>
        <w:gridCol w:w="106"/>
        <w:gridCol w:w="202"/>
        <w:gridCol w:w="790"/>
        <w:gridCol w:w="125"/>
        <w:gridCol w:w="90"/>
        <w:gridCol w:w="174"/>
        <w:gridCol w:w="684"/>
        <w:gridCol w:w="128"/>
        <w:gridCol w:w="92"/>
        <w:gridCol w:w="174"/>
        <w:gridCol w:w="684"/>
        <w:gridCol w:w="155"/>
      </w:tblGrid>
      <w:tr>
        <w:trPr/>
        <w:tc>
          <w:tcPr>
            <w:tcW w:w="44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6" w:type="dxa"/>
            <w:gridSpan w:val="6"/>
            <w:tcBorders/>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55" w:type="dxa"/>
            <w:tcBorders/>
            <w:vAlign w:val="bottom"/>
          </w:tcPr>
          <w:p>
            <w:pPr>
              <w:pStyle w:val="TableContents"/>
              <w:bidi w:val="0"/>
              <w:spacing w:before="0" w:after="283"/>
              <w:jc w:val="left"/>
              <w:rPr/>
            </w:pPr>
            <w:r>
              <w:rPr/>
              <w:t> </w:t>
            </w:r>
          </w:p>
        </w:tc>
      </w:tr>
      <w:tr>
        <w:trPr/>
        <w:tc>
          <w:tcPr>
            <w:tcW w:w="440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246" w:type="dxa"/>
            <w:gridSpan w:val="4"/>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992"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86"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95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w:t>
            </w:r>
          </w:p>
        </w:tc>
        <w:tc>
          <w:tcPr>
            <w:tcW w:w="14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48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1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684" w:type="dxa"/>
            <w:tcBorders/>
            <w:shd w:fill="CCEEFF" w:val="clear"/>
            <w:vAlign w:val="bottom"/>
          </w:tcPr>
          <w:p>
            <w:pPr>
              <w:pStyle w:val="TableContents"/>
              <w:bidi w:val="0"/>
              <w:spacing w:before="0" w:after="0"/>
              <w:jc w:val="right"/>
              <w:rPr>
                <w:color w:val="000000"/>
              </w:rPr>
            </w:pPr>
            <w:r>
              <w:rPr>
                <w:color w:val="000000"/>
              </w:rPr>
              <w:t>48</w:t>
            </w:r>
          </w:p>
        </w:tc>
        <w:tc>
          <w:tcPr>
            <w:tcW w:w="155" w:type="dxa"/>
            <w:tcBorders/>
            <w:shd w:fill="CCEEFF" w:val="clear"/>
            <w:vAlign w:val="bottom"/>
          </w:tcPr>
          <w:p>
            <w:pPr>
              <w:pStyle w:val="TableContents"/>
              <w:bidi w:val="0"/>
              <w:spacing w:before="0" w:after="283"/>
              <w:jc w:val="left"/>
              <w:rPr/>
            </w:pPr>
            <w:r>
              <w:rPr/>
              <w:t> </w:t>
            </w:r>
          </w:p>
        </w:tc>
      </w:tr>
      <w:tr>
        <w:trPr/>
        <w:tc>
          <w:tcPr>
            <w:tcW w:w="4400" w:type="dxa"/>
            <w:tcBorders/>
            <w:vAlign w:val="bottom"/>
          </w:tcPr>
          <w:p>
            <w:pPr>
              <w:pStyle w:val="TableContents"/>
              <w:bidi w:val="0"/>
              <w:spacing w:before="0" w:after="0"/>
              <w:ind w:left="144" w:right="0" w:hanging="144"/>
              <w:jc w:val="left"/>
              <w:rPr>
                <w:color w:val="000000"/>
              </w:rPr>
            </w:pPr>
            <w:r>
              <w:rPr>
                <w:color w:val="000000"/>
              </w:rPr>
              <w:t>Operating expense:</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Research and development</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1,126</w:t>
            </w:r>
          </w:p>
        </w:tc>
        <w:tc>
          <w:tcPr>
            <w:tcW w:w="14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1,215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2,288</w:t>
            </w:r>
          </w:p>
        </w:tc>
        <w:tc>
          <w:tcPr>
            <w:tcW w:w="1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2,474</w:t>
            </w:r>
          </w:p>
        </w:tc>
        <w:tc>
          <w:tcPr>
            <w:tcW w:w="155" w:type="dxa"/>
            <w:tcBorders/>
            <w:shd w:fill="CCEEFF" w:val="clear"/>
            <w:vAlign w:val="bottom"/>
          </w:tcPr>
          <w:p>
            <w:pPr>
              <w:pStyle w:val="TableContents"/>
              <w:bidi w:val="0"/>
              <w:spacing w:before="0" w:after="283"/>
              <w:jc w:val="left"/>
              <w:rPr/>
            </w:pPr>
            <w:r>
              <w:rPr/>
              <w:t> </w:t>
            </w:r>
          </w:p>
        </w:tc>
      </w:tr>
      <w:tr>
        <w:trPr/>
        <w:tc>
          <w:tcPr>
            <w:tcW w:w="4400" w:type="dxa"/>
            <w:tcBorders/>
            <w:vAlign w:val="bottom"/>
          </w:tcPr>
          <w:p>
            <w:pPr>
              <w:pStyle w:val="TableContents"/>
              <w:bidi w:val="0"/>
              <w:spacing w:before="0" w:after="0"/>
              <w:ind w:left="144" w:right="0" w:hanging="144"/>
              <w:jc w:val="left"/>
              <w:rPr>
                <w:color w:val="000000"/>
              </w:rPr>
            </w:pPr>
            <w:r>
              <w:rPr>
                <w:color w:val="000000"/>
              </w:rPr>
              <w:t>Selling, general and administrative</w:t>
            </w:r>
          </w:p>
        </w:tc>
        <w:tc>
          <w:tcPr>
            <w:tcW w:w="9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3,526</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2,777</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6,873</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5,565</w:t>
            </w:r>
          </w:p>
        </w:tc>
        <w:tc>
          <w:tcPr>
            <w:tcW w:w="155" w:type="dxa"/>
            <w:tcBorders/>
            <w:vAlign w:val="bottom"/>
          </w:tcPr>
          <w:p>
            <w:pPr>
              <w:pStyle w:val="TableContents"/>
              <w:bidi w:val="0"/>
              <w:spacing w:before="0" w:after="283"/>
              <w:jc w:val="left"/>
              <w:rPr/>
            </w:pPr>
            <w:r>
              <w:rPr/>
              <w:t> </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Total operating expense</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4,652</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3,992</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9,161</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8,039</w:t>
            </w:r>
          </w:p>
        </w:tc>
        <w:tc>
          <w:tcPr>
            <w:tcW w:w="155" w:type="dxa"/>
            <w:tcBorders/>
            <w:shd w:fill="CCEEFF" w:val="clear"/>
            <w:vAlign w:val="bottom"/>
          </w:tcPr>
          <w:p>
            <w:pPr>
              <w:pStyle w:val="TableContents"/>
              <w:bidi w:val="0"/>
              <w:spacing w:before="0" w:after="283"/>
              <w:jc w:val="left"/>
              <w:rPr/>
            </w:pPr>
            <w:r>
              <w:rPr/>
              <w:t> </w:t>
            </w:r>
          </w:p>
        </w:tc>
      </w:tr>
      <w:tr>
        <w:trPr/>
        <w:tc>
          <w:tcPr>
            <w:tcW w:w="4400" w:type="dxa"/>
            <w:tcBorders/>
            <w:vAlign w:val="bottom"/>
          </w:tcPr>
          <w:p>
            <w:pPr>
              <w:pStyle w:val="TableContents"/>
              <w:bidi w:val="0"/>
              <w:spacing w:before="0" w:after="0"/>
              <w:ind w:left="144" w:right="0" w:hanging="144"/>
              <w:jc w:val="left"/>
              <w:rPr>
                <w:color w:val="000000"/>
              </w:rPr>
            </w:pPr>
            <w:r>
              <w:rPr>
                <w:color w:val="000000"/>
              </w:rPr>
              <w:t>(Loss) from operations</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(4,652</w:t>
            </w:r>
          </w:p>
        </w:tc>
        <w:tc>
          <w:tcPr>
            <w:tcW w:w="148" w:type="dxa"/>
            <w:tcBorders/>
            <w:vAlign w:val="bottom"/>
          </w:tcPr>
          <w:p>
            <w:pPr>
              <w:pStyle w:val="TableContents"/>
              <w:bidi w:val="0"/>
              <w:spacing w:before="0" w:after="0"/>
              <w:jc w:val="left"/>
              <w:rPr>
                <w:color w:val="000000"/>
              </w:rPr>
            </w:pPr>
            <w:r>
              <w:rPr>
                <w:color w:val="000000"/>
              </w:rPr>
              <w:t>)</w:t>
            </w:r>
          </w:p>
        </w:tc>
        <w:tc>
          <w:tcPr>
            <w:tcW w:w="10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(3,944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(9,161</w:t>
            </w:r>
          </w:p>
        </w:tc>
        <w:tc>
          <w:tcPr>
            <w:tcW w:w="128" w:type="dxa"/>
            <w:tcBorders/>
            <w:vAlign w:val="bottom"/>
          </w:tcPr>
          <w:p>
            <w:pPr>
              <w:pStyle w:val="TableContents"/>
              <w:bidi w:val="0"/>
              <w:spacing w:before="0" w:after="0"/>
              <w:jc w:val="left"/>
              <w:rPr>
                <w:color w:val="000000"/>
              </w:rPr>
            </w:pPr>
            <w:r>
              <w:rPr>
                <w:color w:val="000000"/>
              </w:rPr>
              <w:t>)</w:t>
            </w:r>
          </w:p>
        </w:tc>
        <w:tc>
          <w:tcPr>
            <w:tcW w:w="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(7,991</w:t>
            </w:r>
          </w:p>
        </w:tc>
        <w:tc>
          <w:tcPr>
            <w:tcW w:w="155" w:type="dxa"/>
            <w:tcBorders/>
            <w:vAlign w:val="bottom"/>
          </w:tcPr>
          <w:p>
            <w:pPr>
              <w:pStyle w:val="TableContents"/>
              <w:bidi w:val="0"/>
              <w:spacing w:before="0" w:after="0"/>
              <w:jc w:val="left"/>
              <w:rPr>
                <w:color w:val="000000"/>
              </w:rPr>
            </w:pPr>
            <w:r>
              <w:rPr>
                <w:color w:val="000000"/>
              </w:rPr>
              <w:t>)</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Interest and other income, net</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125</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323</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280</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693</w:t>
            </w:r>
          </w:p>
        </w:tc>
        <w:tc>
          <w:tcPr>
            <w:tcW w:w="155" w:type="dxa"/>
            <w:tcBorders/>
            <w:shd w:fill="CCEEFF" w:val="clear"/>
            <w:vAlign w:val="bottom"/>
          </w:tcPr>
          <w:p>
            <w:pPr>
              <w:pStyle w:val="TableContents"/>
              <w:bidi w:val="0"/>
              <w:spacing w:before="0" w:after="283"/>
              <w:jc w:val="left"/>
              <w:rPr/>
            </w:pPr>
            <w:r>
              <w:rPr/>
              <w:t> </w:t>
            </w:r>
          </w:p>
        </w:tc>
      </w:tr>
      <w:tr>
        <w:trPr/>
        <w:tc>
          <w:tcPr>
            <w:tcW w:w="4400" w:type="dxa"/>
            <w:tcBorders/>
            <w:vAlign w:val="bottom"/>
          </w:tcPr>
          <w:p>
            <w:pPr>
              <w:pStyle w:val="TableContents"/>
              <w:bidi w:val="0"/>
              <w:spacing w:before="0" w:after="0"/>
              <w:ind w:left="144" w:right="0" w:hanging="144"/>
              <w:jc w:val="left"/>
              <w:rPr>
                <w:color w:val="000000"/>
              </w:rPr>
            </w:pPr>
            <w:r>
              <w:rPr>
                <w:color w:val="000000"/>
              </w:rPr>
              <w:t>(Loss) before taxes</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(4,527</w:t>
            </w:r>
          </w:p>
        </w:tc>
        <w:tc>
          <w:tcPr>
            <w:tcW w:w="148" w:type="dxa"/>
            <w:tcBorders/>
            <w:vAlign w:val="bottom"/>
          </w:tcPr>
          <w:p>
            <w:pPr>
              <w:pStyle w:val="TableContents"/>
              <w:bidi w:val="0"/>
              <w:spacing w:before="0" w:after="0"/>
              <w:jc w:val="left"/>
              <w:rPr>
                <w:color w:val="000000"/>
              </w:rPr>
            </w:pPr>
            <w:r>
              <w:rPr>
                <w:color w:val="000000"/>
              </w:rPr>
              <w:t>)</w:t>
            </w:r>
          </w:p>
        </w:tc>
        <w:tc>
          <w:tcPr>
            <w:tcW w:w="10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(3,621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(8,881</w:t>
            </w:r>
          </w:p>
        </w:tc>
        <w:tc>
          <w:tcPr>
            <w:tcW w:w="128" w:type="dxa"/>
            <w:tcBorders/>
            <w:vAlign w:val="bottom"/>
          </w:tcPr>
          <w:p>
            <w:pPr>
              <w:pStyle w:val="TableContents"/>
              <w:bidi w:val="0"/>
              <w:spacing w:before="0" w:after="0"/>
              <w:jc w:val="left"/>
              <w:rPr>
                <w:color w:val="000000"/>
              </w:rPr>
            </w:pPr>
            <w:r>
              <w:rPr>
                <w:color w:val="000000"/>
              </w:rPr>
              <w:t>)</w:t>
            </w:r>
          </w:p>
        </w:tc>
        <w:tc>
          <w:tcPr>
            <w:tcW w:w="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(7,298</w:t>
            </w:r>
          </w:p>
        </w:tc>
        <w:tc>
          <w:tcPr>
            <w:tcW w:w="155" w:type="dxa"/>
            <w:tcBorders/>
            <w:vAlign w:val="bottom"/>
          </w:tcPr>
          <w:p>
            <w:pPr>
              <w:pStyle w:val="TableContents"/>
              <w:bidi w:val="0"/>
              <w:spacing w:before="0" w:after="0"/>
              <w:jc w:val="left"/>
              <w:rPr>
                <w:color w:val="000000"/>
              </w:rPr>
            </w:pPr>
            <w:r>
              <w:rPr>
                <w:color w:val="000000"/>
              </w:rPr>
              <w:t>)</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Income tax (expense) benefit</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400" w:type="dxa"/>
            <w:tcBorders/>
            <w:vAlign w:val="bottom"/>
          </w:tcPr>
          <w:p>
            <w:pPr>
              <w:pStyle w:val="TableContents"/>
              <w:bidi w:val="0"/>
              <w:spacing w:before="0" w:after="0"/>
              <w:ind w:left="144" w:right="0" w:hanging="144"/>
              <w:jc w:val="left"/>
              <w:rPr>
                <w:b/>
                <w:color w:val="000000"/>
              </w:rPr>
            </w:pPr>
            <w:r>
              <w:rPr>
                <w:b/>
                <w:color w:val="000000"/>
              </w:rPr>
              <w:t>Net (loss)</w:t>
            </w:r>
          </w:p>
        </w:tc>
        <w:tc>
          <w:tcPr>
            <w:tcW w:w="9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(4,527</w:t>
            </w:r>
          </w:p>
        </w:tc>
        <w:tc>
          <w:tcPr>
            <w:tcW w:w="14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6" w:type="dxa"/>
            <w:tcBorders>
              <w:bottom w:val="double" w:sz="8" w:space="0" w:color="000000"/>
            </w:tcBorders>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(3,621</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(8,881</w:t>
            </w:r>
          </w:p>
        </w:tc>
        <w:tc>
          <w:tcPr>
            <w:tcW w:w="1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2"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(7,300</w:t>
            </w:r>
          </w:p>
        </w:tc>
        <w:tc>
          <w:tcPr>
            <w:tcW w:w="155" w:type="dxa"/>
            <w:tcBorders/>
            <w:vAlign w:val="bottom"/>
          </w:tcPr>
          <w:p>
            <w:pPr>
              <w:pStyle w:val="TableContents"/>
              <w:bidi w:val="0"/>
              <w:spacing w:before="0" w:after="0"/>
              <w:jc w:val="left"/>
              <w:rPr>
                <w:color w:val="000000"/>
              </w:rPr>
            </w:pPr>
            <w:r>
              <w:rPr>
                <w:color w:val="000000"/>
              </w:rPr>
              <w:t>)</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Basic (loss) per share</w:t>
            </w:r>
          </w:p>
        </w:tc>
        <w:tc>
          <w:tcPr>
            <w:tcW w:w="9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(1.20</w:t>
            </w:r>
          </w:p>
        </w:tc>
        <w:tc>
          <w:tcPr>
            <w:tcW w:w="1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(0.99</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(2.36</w:t>
            </w:r>
          </w:p>
        </w:tc>
        <w:tc>
          <w:tcPr>
            <w:tcW w:w="12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(1.99</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400" w:type="dxa"/>
            <w:tcBorders/>
            <w:vAlign w:val="bottom"/>
          </w:tcPr>
          <w:p>
            <w:pPr>
              <w:pStyle w:val="TableContents"/>
              <w:bidi w:val="0"/>
              <w:spacing w:before="0" w:after="0"/>
              <w:ind w:left="144" w:right="0" w:hanging="144"/>
              <w:jc w:val="left"/>
              <w:rPr>
                <w:color w:val="000000"/>
              </w:rPr>
            </w:pPr>
            <w:r>
              <w:rPr>
                <w:color w:val="000000"/>
              </w:rPr>
              <w:t>Diluted (loss) per share</w:t>
            </w:r>
          </w:p>
        </w:tc>
        <w:tc>
          <w:tcPr>
            <w:tcW w:w="9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(1.20</w:t>
            </w:r>
          </w:p>
        </w:tc>
        <w:tc>
          <w:tcPr>
            <w:tcW w:w="14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6" w:type="dxa"/>
            <w:tcBorders>
              <w:bottom w:val="double" w:sz="8" w:space="0" w:color="000000"/>
            </w:tcBorders>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(0.99</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(2.36</w:t>
            </w:r>
          </w:p>
        </w:tc>
        <w:tc>
          <w:tcPr>
            <w:tcW w:w="1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2"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(1.99</w:t>
            </w:r>
          </w:p>
        </w:tc>
        <w:tc>
          <w:tcPr>
            <w:tcW w:w="155" w:type="dxa"/>
            <w:tcBorders/>
            <w:vAlign w:val="bottom"/>
          </w:tcPr>
          <w:p>
            <w:pPr>
              <w:pStyle w:val="TableContents"/>
              <w:bidi w:val="0"/>
              <w:spacing w:before="0" w:after="0"/>
              <w:jc w:val="left"/>
              <w:rPr>
                <w:color w:val="000000"/>
              </w:rPr>
            </w:pPr>
            <w:r>
              <w:rPr>
                <w:color w:val="000000"/>
              </w:rPr>
              <w:t>)</w:t>
            </w:r>
          </w:p>
        </w:tc>
      </w:tr>
      <w:tr>
        <w:trPr/>
        <w:tc>
          <w:tcPr>
            <w:tcW w:w="4400" w:type="dxa"/>
            <w:tcBorders/>
            <w:shd w:fill="CCEEFF" w:val="clear"/>
            <w:vAlign w:val="bottom"/>
          </w:tcPr>
          <w:p>
            <w:pPr>
              <w:pStyle w:val="TableContents"/>
              <w:bidi w:val="0"/>
              <w:spacing w:before="0" w:after="0"/>
              <w:ind w:left="144" w:right="0" w:hanging="144"/>
              <w:jc w:val="left"/>
              <w:rPr>
                <w:color w:val="000000"/>
              </w:rPr>
            </w:pPr>
            <w:r>
              <w:rPr>
                <w:color w:val="000000"/>
              </w:rPr>
              <w:t>Weighted average shares outstanding - basic</w:t>
            </w:r>
          </w:p>
        </w:tc>
        <w:tc>
          <w:tcPr>
            <w:tcW w:w="9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3,770</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3,660</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3,762</w:t>
            </w:r>
          </w:p>
        </w:tc>
        <w:tc>
          <w:tcPr>
            <w:tcW w:w="12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3,660</w:t>
            </w:r>
          </w:p>
        </w:tc>
        <w:tc>
          <w:tcPr>
            <w:tcW w:w="155" w:type="dxa"/>
            <w:tcBorders/>
            <w:shd w:fill="CCEEFF" w:val="clear"/>
            <w:vAlign w:val="bottom"/>
          </w:tcPr>
          <w:p>
            <w:pPr>
              <w:pStyle w:val="TableContents"/>
              <w:bidi w:val="0"/>
              <w:spacing w:before="0" w:after="283"/>
              <w:jc w:val="left"/>
              <w:rPr/>
            </w:pPr>
            <w:r>
              <w:rPr/>
              <w:t> </w:t>
            </w:r>
          </w:p>
        </w:tc>
      </w:tr>
      <w:tr>
        <w:trPr/>
        <w:tc>
          <w:tcPr>
            <w:tcW w:w="4400" w:type="dxa"/>
            <w:tcBorders/>
            <w:vAlign w:val="bottom"/>
          </w:tcPr>
          <w:p>
            <w:pPr>
              <w:pStyle w:val="TableContents"/>
              <w:bidi w:val="0"/>
              <w:spacing w:before="0" w:after="0"/>
              <w:ind w:left="144" w:right="0" w:hanging="144"/>
              <w:jc w:val="left"/>
              <w:rPr>
                <w:color w:val="000000"/>
              </w:rPr>
            </w:pPr>
            <w:r>
              <w:rPr>
                <w:color w:val="000000"/>
              </w:rPr>
              <w:t>Weighted average shares outstanding - diluted</w:t>
            </w:r>
          </w:p>
        </w:tc>
        <w:tc>
          <w:tcPr>
            <w:tcW w:w="9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283"/>
              <w:jc w:val="left"/>
              <w:rPr/>
            </w:pPr>
            <w:r>
              <w:rPr/>
              <w:t> </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3,770</w:t>
            </w:r>
          </w:p>
        </w:tc>
        <w:tc>
          <w:tcPr>
            <w:tcW w:w="148" w:type="dxa"/>
            <w:tcBorders>
              <w:bottom w:val="double" w:sz="8" w:space="0" w:color="000000"/>
            </w:tcBorders>
            <w:tcMar>
              <w:bottom w:w="28" w:type="dxa"/>
            </w:tcMar>
            <w:vAlign w:val="bottom"/>
          </w:tcPr>
          <w:p>
            <w:pPr>
              <w:pStyle w:val="TableContents"/>
              <w:bidi w:val="0"/>
              <w:spacing w:before="0" w:after="283"/>
              <w:jc w:val="left"/>
              <w:rPr/>
            </w:pPr>
            <w:r>
              <w:rPr/>
              <w:t> </w:t>
            </w:r>
          </w:p>
        </w:tc>
        <w:tc>
          <w:tcPr>
            <w:tcW w:w="106" w:type="dxa"/>
            <w:tcBorders>
              <w:bottom w:val="double" w:sz="8" w:space="0" w:color="000000"/>
            </w:tcBorders>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283"/>
              <w:jc w:val="left"/>
              <w:rPr/>
            </w:pPr>
            <w:r>
              <w:rPr/>
              <w:t> </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3,660</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283"/>
              <w:jc w:val="left"/>
              <w:rPr/>
            </w:pPr>
            <w:r>
              <w:rPr/>
              <w:t> </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3,762</w:t>
            </w:r>
          </w:p>
        </w:tc>
        <w:tc>
          <w:tcPr>
            <w:tcW w:w="128" w:type="dxa"/>
            <w:tcBorders>
              <w:bottom w:val="double" w:sz="8" w:space="0" w:color="000000"/>
            </w:tcBorders>
            <w:tcMar>
              <w:bottom w:w="28" w:type="dxa"/>
            </w:tcMar>
            <w:vAlign w:val="bottom"/>
          </w:tcPr>
          <w:p>
            <w:pPr>
              <w:pStyle w:val="TableContents"/>
              <w:bidi w:val="0"/>
              <w:spacing w:before="0" w:after="283"/>
              <w:jc w:val="left"/>
              <w:rPr/>
            </w:pPr>
            <w:r>
              <w:rPr/>
              <w:t> </w:t>
            </w:r>
          </w:p>
        </w:tc>
        <w:tc>
          <w:tcPr>
            <w:tcW w:w="92"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283"/>
              <w:jc w:val="left"/>
              <w:rPr/>
            </w:pPr>
            <w:r>
              <w:rPr/>
              <w:t> </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3,660</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condensed consolidated financial statements.</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CONDENSED CONSOLIDATED STATEMENTS OF </w:t>
      </w:r>
      <w:bookmarkStart w:id="25" w:name="COMPREHENSIVELOSS"/>
      <w:bookmarkEnd w:id="25"/>
      <w:r>
        <w:rPr>
          <w:rFonts w:ascii="Times New Roman" w:hAnsi="Times New Roman"/>
          <w:b/>
          <w:color w:val="000000"/>
          <w:sz w:val="20"/>
          <w:shd w:fill="FFFFFF" w:val="clear"/>
        </w:rPr>
        <w:t>COMPREHENSIVE LOSS (Unaudited)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9348e4768b664f8bbe568aefcdbc37ca"/>
      <w:bookmarkStart w:id="27" w:name="z9348e4768b664f8bbe568aefcdbc37ca"/>
      <w:bookmarkEnd w:id="27"/>
    </w:p>
    <w:tbl>
      <w:tblPr>
        <w:tblW w:w="10153" w:type="dxa"/>
        <w:jc w:val="left"/>
        <w:tblInd w:w="0" w:type="dxa"/>
        <w:tblLayout w:type="fixed"/>
        <w:tblCellMar>
          <w:top w:w="0" w:type="dxa"/>
          <w:left w:w="0" w:type="dxa"/>
          <w:bottom w:w="0" w:type="dxa"/>
          <w:right w:w="0" w:type="dxa"/>
        </w:tblCellMar>
      </w:tblPr>
      <w:tblGrid>
        <w:gridCol w:w="5570"/>
        <w:gridCol w:w="90"/>
        <w:gridCol w:w="202"/>
        <w:gridCol w:w="790"/>
        <w:gridCol w:w="148"/>
        <w:gridCol w:w="106"/>
        <w:gridCol w:w="202"/>
        <w:gridCol w:w="790"/>
        <w:gridCol w:w="125"/>
        <w:gridCol w:w="90"/>
        <w:gridCol w:w="170"/>
        <w:gridCol w:w="665"/>
        <w:gridCol w:w="125"/>
        <w:gridCol w:w="90"/>
        <w:gridCol w:w="170"/>
        <w:gridCol w:w="665"/>
        <w:gridCol w:w="155"/>
      </w:tblGrid>
      <w:tr>
        <w:trPr/>
        <w:tc>
          <w:tcPr>
            <w:tcW w:w="55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5" w:type="dxa"/>
            <w:gridSpan w:val="6"/>
            <w:tcBorders/>
            <w:vAlign w:val="bottom"/>
          </w:tcPr>
          <w:p>
            <w:pPr>
              <w:pStyle w:val="TableContents"/>
              <w:bidi w:val="0"/>
              <w:spacing w:before="0" w:after="0"/>
              <w:jc w:val="center"/>
              <w:rPr>
                <w:b/>
                <w:color w:val="000000"/>
              </w:rPr>
            </w:pPr>
            <w:r>
              <w:rPr>
                <w:b/>
                <w:color w:val="000000"/>
              </w:rPr>
              <w:t>Six Months End</w:t>
            </w:r>
          </w:p>
          <w:p>
            <w:pPr>
              <w:pStyle w:val="TableContents"/>
              <w:bidi w:val="0"/>
              <w:spacing w:before="0" w:after="0"/>
              <w:jc w:val="center"/>
              <w:rPr>
                <w:b/>
                <w:color w:val="000000"/>
              </w:rPr>
            </w:pPr>
            <w:r>
              <w:rPr>
                <w:b/>
                <w:color w:val="000000"/>
              </w:rPr>
              <w:t>June 30,</w:t>
            </w:r>
          </w:p>
        </w:tc>
        <w:tc>
          <w:tcPr>
            <w:tcW w:w="155" w:type="dxa"/>
            <w:tcBorders/>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4"/>
            <w:tcBorders>
              <w:bottom w:val="single" w:sz="12" w:space="0" w:color="000000"/>
            </w:tcBorders>
            <w:tcMar>
              <w:bottom w:w="28" w:type="dxa"/>
            </w:tcMar>
            <w:vAlign w:val="bottom"/>
          </w:tcPr>
          <w:p>
            <w:pPr>
              <w:pStyle w:val="TableContents"/>
              <w:bidi w:val="0"/>
              <w:spacing w:before="0" w:after="283"/>
              <w:jc w:val="center"/>
              <w:rPr>
                <w:b/>
              </w:rPr>
            </w:pPr>
            <w:r>
              <w:rPr>
                <w:b/>
              </w:rPr>
              <w:t xml:space="preserve">2026 </w:t>
            </w:r>
          </w:p>
        </w:tc>
        <w:tc>
          <w:tcPr>
            <w:tcW w:w="992"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2025 </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050" w:type="dxa"/>
            <w:gridSpan w:val="4"/>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83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(4,527</w:t>
            </w:r>
          </w:p>
        </w:tc>
        <w:tc>
          <w:tcPr>
            <w:tcW w:w="148" w:type="dxa"/>
            <w:tcBorders/>
            <w:shd w:fill="CCEEFF" w:val="clear"/>
            <w:vAlign w:val="bottom"/>
          </w:tcPr>
          <w:p>
            <w:pPr>
              <w:pStyle w:val="TableContents"/>
              <w:bidi w:val="0"/>
              <w:spacing w:before="0" w:after="0"/>
              <w:jc w:val="lef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(3,621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(8,881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(7,300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570" w:type="dxa"/>
            <w:tcBorders/>
            <w:vAlign w:val="bottom"/>
          </w:tcPr>
          <w:p>
            <w:pPr>
              <w:pStyle w:val="TableContents"/>
              <w:bidi w:val="0"/>
              <w:spacing w:before="0" w:after="0"/>
              <w:ind w:left="144" w:right="0" w:hanging="144"/>
              <w:jc w:val="left"/>
              <w:rPr>
                <w:color w:val="000000"/>
              </w:rPr>
            </w:pPr>
            <w:r>
              <w:rPr>
                <w:color w:val="000000"/>
              </w:rPr>
              <w:t>Other comprehensive income (loss):</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Change in unrealized gain (loss) on investments, net of tax</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(1</w:t>
            </w:r>
          </w:p>
        </w:tc>
        <w:tc>
          <w:tcPr>
            <w:tcW w:w="148" w:type="dxa"/>
            <w:tcBorders/>
            <w:shd w:fill="CCEEFF" w:val="clear"/>
            <w:vAlign w:val="bottom"/>
          </w:tcPr>
          <w:p>
            <w:pPr>
              <w:pStyle w:val="TableContents"/>
              <w:bidi w:val="0"/>
              <w:spacing w:before="0" w:after="0"/>
              <w:jc w:val="lef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(20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570" w:type="dxa"/>
            <w:tcBorders/>
            <w:vAlign w:val="bottom"/>
          </w:tcPr>
          <w:p>
            <w:pPr>
              <w:pStyle w:val="TableContents"/>
              <w:bidi w:val="0"/>
              <w:spacing w:before="0" w:after="0"/>
              <w:ind w:left="144" w:right="0" w:hanging="144"/>
              <w:jc w:val="left"/>
              <w:rPr>
                <w:color w:val="000000"/>
              </w:rPr>
            </w:pPr>
            <w:r>
              <w:rPr>
                <w:color w:val="000000"/>
              </w:rPr>
              <w:t>Change in foreign currency translation, net of tax</w:t>
            </w:r>
          </w:p>
        </w:tc>
        <w:tc>
          <w:tcPr>
            <w:tcW w:w="9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148"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6"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pPr>
            <w:r>
              <w:rPr/>
              <w:t>3</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15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Total other comprehensive income (loss)</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14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570" w:type="dxa"/>
            <w:tcBorders/>
            <w:vAlign w:val="bottom"/>
          </w:tcPr>
          <w:p>
            <w:pPr>
              <w:pStyle w:val="TableContents"/>
              <w:bidi w:val="0"/>
              <w:spacing w:before="0" w:after="0"/>
              <w:ind w:left="144" w:right="0" w:hanging="144"/>
              <w:jc w:val="left"/>
              <w:rPr>
                <w:color w:val="000000"/>
              </w:rPr>
            </w:pPr>
            <w:r>
              <w:rPr>
                <w:color w:val="000000"/>
              </w:rPr>
              <w:t>Comprehensive (loss)</w:t>
            </w:r>
          </w:p>
        </w:tc>
        <w:tc>
          <w:tcPr>
            <w:tcW w:w="9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(4,529</w:t>
            </w:r>
          </w:p>
        </w:tc>
        <w:tc>
          <w:tcPr>
            <w:tcW w:w="14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6" w:type="dxa"/>
            <w:tcBorders>
              <w:bottom w:val="double" w:sz="8" w:space="0" w:color="000000"/>
            </w:tcBorders>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(3,626</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(8,888</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(7,317</w:t>
            </w:r>
          </w:p>
        </w:tc>
        <w:tc>
          <w:tcPr>
            <w:tcW w:w="15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condensed consolidated financial statements.</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CONDENSED CONSOLIDATED STATEMENTS OF </w:t>
      </w:r>
      <w:bookmarkStart w:id="28" w:name="SHAREHOLDERSEQUITY"/>
      <w:bookmarkEnd w:id="28"/>
      <w:r>
        <w:rPr>
          <w:rFonts w:ascii="Times New Roman" w:hAnsi="Times New Roman"/>
          <w:b/>
          <w:color w:val="000000"/>
          <w:sz w:val="20"/>
          <w:shd w:fill="FFFFFF" w:val="clear"/>
        </w:rPr>
        <w:t>SHAREHOLDERS’ EQUITY (Unaudited)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per share amounts)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zc69caae265864af8aa61a36c6cf31844"/>
      <w:bookmarkStart w:id="30" w:name="zc69caae265864af8aa61a36c6cf31844"/>
      <w:bookmarkEnd w:id="30"/>
    </w:p>
    <w:tbl>
      <w:tblPr>
        <w:tblW w:w="9965" w:type="dxa"/>
        <w:jc w:val="left"/>
        <w:tblInd w:w="0" w:type="dxa"/>
        <w:tblLayout w:type="fixed"/>
        <w:tblCellMar>
          <w:top w:w="0" w:type="dxa"/>
          <w:left w:w="0" w:type="dxa"/>
          <w:bottom w:w="0" w:type="dxa"/>
          <w:right w:w="0" w:type="dxa"/>
        </w:tblCellMar>
      </w:tblPr>
      <w:tblGrid>
        <w:gridCol w:w="4775"/>
        <w:gridCol w:w="90"/>
        <w:gridCol w:w="170"/>
        <w:gridCol w:w="905"/>
        <w:gridCol w:w="125"/>
        <w:gridCol w:w="90"/>
        <w:gridCol w:w="170"/>
        <w:gridCol w:w="905"/>
        <w:gridCol w:w="125"/>
        <w:gridCol w:w="90"/>
        <w:gridCol w:w="170"/>
        <w:gridCol w:w="905"/>
        <w:gridCol w:w="125"/>
        <w:gridCol w:w="90"/>
        <w:gridCol w:w="170"/>
        <w:gridCol w:w="905"/>
        <w:gridCol w:w="155"/>
      </w:tblGrid>
      <w:tr>
        <w:trPr/>
        <w:tc>
          <w:tcPr>
            <w:tcW w:w="4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55"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0" w:type="dxa"/>
            <w:gridSpan w:val="4"/>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07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290" w:type="dxa"/>
            <w:gridSpan w:val="4"/>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07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b/>
                <w:color w:val="000000"/>
              </w:rPr>
            </w:pPr>
            <w:r>
              <w:rPr>
                <w:b/>
                <w:color w:val="000000"/>
              </w:rPr>
              <w:t>Total shareholders’ equity, beginning balances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18,853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36,363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22,474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39,623</w:t>
            </w:r>
          </w:p>
        </w:tc>
        <w:tc>
          <w:tcPr>
            <w:tcW w:w="155"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b/>
                <w:color w:val="000000"/>
              </w:rPr>
            </w:pPr>
            <w:r>
              <w:rPr>
                <w:b/>
                <w:color w:val="000000"/>
              </w:rPr>
              <w:t>Common stock and additional paid-in capital: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color w:val="000000"/>
              </w:rPr>
            </w:pPr>
            <w:r>
              <w:rPr>
                <w:color w:val="000000"/>
              </w:rPr>
              <w:t>Beginning balances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246,128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244,724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245,390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244,293</w:t>
            </w:r>
          </w:p>
        </w:tc>
        <w:tc>
          <w:tcPr>
            <w:tcW w:w="155"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color w:val="000000"/>
              </w:rPr>
            </w:pPr>
            <w:r>
              <w:rPr>
                <w:color w:val="000000"/>
              </w:rPr>
              <w:t>Common stock issued for equity awards,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w:t>
            </w:r>
          </w:p>
        </w:tc>
        <w:tc>
          <w:tcPr>
            <w:tcW w:w="155" w:type="dxa"/>
            <w:tcBorders/>
            <w:vAlign w:val="bottom"/>
          </w:tcPr>
          <w:p>
            <w:pPr>
              <w:pStyle w:val="TableContents"/>
              <w:bidi w:val="0"/>
              <w:spacing w:before="0" w:after="0"/>
              <w:jc w:val="left"/>
              <w:rPr>
                <w:color w:val="000000"/>
              </w:rPr>
            </w:pPr>
            <w:r>
              <w:rPr>
                <w:color w:val="000000"/>
              </w:rPr>
              <w:t>)</w:t>
            </w:r>
          </w:p>
        </w:tc>
      </w:tr>
      <w:tr>
        <w:trPr/>
        <w:tc>
          <w:tcPr>
            <w:tcW w:w="4775" w:type="dxa"/>
            <w:tcBorders/>
            <w:shd w:fill="CCEEFF" w:val="clear"/>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743</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441</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1,482</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872</w:t>
            </w:r>
          </w:p>
        </w:tc>
        <w:tc>
          <w:tcPr>
            <w:tcW w:w="155"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color w:val="000000"/>
              </w:rPr>
            </w:pPr>
            <w:r>
              <w:rPr>
                <w:color w:val="000000"/>
              </w:rPr>
              <w:t>Ending balances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246,866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245,158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246,866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245,158</w:t>
            </w:r>
          </w:p>
        </w:tc>
        <w:tc>
          <w:tcPr>
            <w:tcW w:w="155"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b/>
                <w:color w:val="000000"/>
              </w:rPr>
            </w:pPr>
            <w:r>
              <w:rPr>
                <w:b/>
                <w:color w:val="000000"/>
              </w:rPr>
              <w:t>Accumulated deficit: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color w:val="000000"/>
              </w:rPr>
            </w:pPr>
            <w:r>
              <w:rPr>
                <w:color w:val="000000"/>
              </w:rPr>
              <w:t>Beginning balances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(227,249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(208,349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(222,895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(204,670</w:t>
            </w:r>
          </w:p>
        </w:tc>
        <w:tc>
          <w:tcPr>
            <w:tcW w:w="155" w:type="dxa"/>
            <w:tcBorders/>
            <w:vAlign w:val="bottom"/>
          </w:tcPr>
          <w:p>
            <w:pPr>
              <w:pStyle w:val="TableContents"/>
              <w:bidi w:val="0"/>
              <w:spacing w:before="0" w:after="0"/>
              <w:jc w:val="left"/>
              <w:rPr>
                <w:color w:val="000000"/>
              </w:rPr>
            </w:pPr>
            <w:r>
              <w:rPr>
                <w:color w:val="000000"/>
              </w:rPr>
              <w:t>)</w:t>
            </w:r>
          </w:p>
        </w:tc>
      </w:tr>
      <w:tr>
        <w:trPr/>
        <w:tc>
          <w:tcPr>
            <w:tcW w:w="4775" w:type="dxa"/>
            <w:tcBorders/>
            <w:shd w:fill="CCEEFF" w:val="clear"/>
            <w:vAlign w:val="bottom"/>
          </w:tcPr>
          <w:p>
            <w:pPr>
              <w:pStyle w:val="TableContents"/>
              <w:bidi w:val="0"/>
              <w:spacing w:before="0" w:after="0"/>
              <w:ind w:left="144" w:right="0" w:hanging="144"/>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(4,527</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(3,621</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(8,881</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(7,300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775" w:type="dxa"/>
            <w:tcBorders/>
            <w:vAlign w:val="bottom"/>
          </w:tcPr>
          <w:p>
            <w:pPr>
              <w:pStyle w:val="TableContents"/>
              <w:bidi w:val="0"/>
              <w:spacing w:before="0" w:after="0"/>
              <w:ind w:left="144" w:right="0" w:hanging="144"/>
              <w:jc w:val="left"/>
              <w:rPr>
                <w:color w:val="000000"/>
              </w:rPr>
            </w:pPr>
            <w:r>
              <w:rPr>
                <w:color w:val="000000"/>
              </w:rPr>
              <w:t>Ending balances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(231,776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(211,970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(231,776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(211,970</w:t>
            </w:r>
          </w:p>
        </w:tc>
        <w:tc>
          <w:tcPr>
            <w:tcW w:w="155" w:type="dxa"/>
            <w:tcBorders/>
            <w:vAlign w:val="bottom"/>
          </w:tcPr>
          <w:p>
            <w:pPr>
              <w:pStyle w:val="TableContents"/>
              <w:bidi w:val="0"/>
              <w:spacing w:before="0" w:after="0"/>
              <w:jc w:val="left"/>
              <w:rPr>
                <w:color w:val="000000"/>
              </w:rPr>
            </w:pPr>
            <w:r>
              <w:rPr>
                <w:color w:val="000000"/>
              </w:rPr>
              <w:t>)</w:t>
            </w:r>
          </w:p>
        </w:tc>
      </w:tr>
      <w:tr>
        <w:trPr/>
        <w:tc>
          <w:tcPr>
            <w:tcW w:w="4775" w:type="dxa"/>
            <w:tcBorders/>
            <w:shd w:fill="CCEEFF" w:val="clear"/>
            <w:vAlign w:val="bottom"/>
          </w:tcPr>
          <w:p>
            <w:pPr>
              <w:pStyle w:val="TableContents"/>
              <w:bidi w:val="0"/>
              <w:spacing w:before="0" w:after="0"/>
              <w:ind w:left="144" w:right="0" w:hanging="144"/>
              <w:jc w:val="left"/>
              <w:rPr>
                <w:b/>
                <w:color w:val="000000"/>
              </w:rPr>
            </w:pPr>
            <w:r>
              <w:rPr>
                <w:b/>
                <w:color w:val="000000"/>
              </w:rPr>
              <w:t>Accumulated other comprehensive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44" w:right="0" w:hanging="144"/>
              <w:jc w:val="left"/>
              <w:rPr>
                <w:color w:val="000000"/>
              </w:rPr>
            </w:pPr>
            <w:r>
              <w:rPr>
                <w:color w:val="000000"/>
              </w:rPr>
              <w:t>Beginning balances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55"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color w:val="000000"/>
              </w:rPr>
            </w:pPr>
            <w:r>
              <w:rPr>
                <w:color w:val="000000"/>
              </w:rPr>
              <w:t>Change in unrealized investment gain/loss,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775" w:type="dxa"/>
            <w:tcBorders/>
            <w:vAlign w:val="bottom"/>
          </w:tcPr>
          <w:p>
            <w:pPr>
              <w:pStyle w:val="TableContents"/>
              <w:bidi w:val="0"/>
              <w:spacing w:before="0" w:after="0"/>
              <w:ind w:left="144" w:right="0" w:hanging="144"/>
              <w:jc w:val="left"/>
              <w:rPr>
                <w:color w:val="000000"/>
              </w:rPr>
            </w:pPr>
            <w:r>
              <w:rPr>
                <w:color w:val="000000"/>
              </w:rPr>
              <w:t>Change in foreign currency translation, net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155"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44" w:right="0" w:hanging="144"/>
              <w:jc w:val="left"/>
              <w:rPr>
                <w:color w:val="000000"/>
              </w:rPr>
            </w:pPr>
            <w:r>
              <w:rPr>
                <w:color w:val="000000"/>
              </w:rPr>
              <w:t>Ending balances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775" w:type="dxa"/>
            <w:tcBorders/>
            <w:vAlign w:val="bottom"/>
          </w:tcPr>
          <w:p>
            <w:pPr>
              <w:pStyle w:val="TableContents"/>
              <w:bidi w:val="0"/>
              <w:spacing w:before="0" w:after="0"/>
              <w:ind w:left="144" w:right="0" w:hanging="144"/>
              <w:jc w:val="left"/>
              <w:rPr>
                <w:b/>
                <w:color w:val="000000"/>
              </w:rPr>
            </w:pPr>
            <w:r>
              <w:rPr>
                <w:b/>
                <w:color w:val="000000"/>
              </w:rPr>
              <w:t>Total shareholders’ equity, ending balances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15,062</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33,171</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15,062</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33,171</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CONSOLIDATED STATEMENTS OF CASH FLOWS</w:t>
      </w:r>
      <w:bookmarkStart w:id="31" w:name="CASHFLOWS"/>
      <w:bookmarkEnd w:id="31"/>
      <w:r>
        <w:rPr>
          <w:rFonts w:ascii="Times New Roman" w:hAnsi="Times New Roman"/>
          <w:b/>
          <w:color w:val="000000"/>
          <w:sz w:val="20"/>
          <w:shd w:fill="FFFFFF" w:val="clear"/>
        </w:rPr>
        <w:t xml:space="preserve"> (Unaudited)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4f4d04b6457147ce8dab0110a9f95169"/>
      <w:bookmarkStart w:id="33" w:name="z4f4d04b6457147ce8dab0110a9f95169"/>
      <w:bookmarkEnd w:id="33"/>
    </w:p>
    <w:tbl>
      <w:tblPr>
        <w:tblW w:w="9155" w:type="dxa"/>
        <w:jc w:val="left"/>
        <w:tblInd w:w="0" w:type="dxa"/>
        <w:tblLayout w:type="fixed"/>
        <w:tblCellMar>
          <w:top w:w="0" w:type="dxa"/>
          <w:left w:w="0" w:type="dxa"/>
          <w:bottom w:w="0" w:type="dxa"/>
          <w:right w:w="0" w:type="dxa"/>
        </w:tblCellMar>
      </w:tblPr>
      <w:tblGrid>
        <w:gridCol w:w="6860"/>
        <w:gridCol w:w="90"/>
        <w:gridCol w:w="170"/>
        <w:gridCol w:w="710"/>
        <w:gridCol w:w="125"/>
        <w:gridCol w:w="90"/>
        <w:gridCol w:w="170"/>
        <w:gridCol w:w="785"/>
        <w:gridCol w:w="155"/>
      </w:tblGrid>
      <w:tr>
        <w:trPr/>
        <w:tc>
          <w:tcPr>
            <w:tcW w:w="68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0" w:type="dxa"/>
            <w:gridSpan w:val="6"/>
            <w:tcBorders/>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55" w:type="dxa"/>
            <w:tcBorders/>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5"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045"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b/>
                <w:color w:val="000000"/>
              </w:rPr>
            </w:pPr>
            <w:r>
              <w:rPr>
                <w:b/>
                <w:color w:val="000000"/>
              </w:rPr>
              <w:t>Cash flows from operating activities: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(8,881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(7,300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144" w:right="0" w:hanging="144"/>
              <w:jc w:val="left"/>
              <w:rPr>
                <w:color w:val="000000"/>
              </w:rPr>
            </w:pPr>
            <w:r>
              <w:rPr>
                <w:color w:val="000000"/>
              </w:rPr>
              <w:t>Adjustments to reconcile net loss to cash flows from operating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Depreciation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10</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1,482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872</w:t>
            </w:r>
          </w:p>
        </w:tc>
        <w:tc>
          <w:tcPr>
            <w:tcW w:w="155"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Changes in assets and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Accounts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(48</w:t>
            </w:r>
          </w:p>
        </w:tc>
        <w:tc>
          <w:tcPr>
            <w:tcW w:w="155"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Prepaid expenses and other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371</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Accounts payable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(50</w:t>
            </w:r>
          </w:p>
        </w:tc>
        <w:tc>
          <w:tcPr>
            <w:tcW w:w="155"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Accrued payroll and related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94</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(832</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(781</w:t>
            </w:r>
          </w:p>
        </w:tc>
        <w:tc>
          <w:tcPr>
            <w:tcW w:w="155"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Net cash used in operating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(7,617</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(6,832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144" w:right="0" w:hanging="144"/>
              <w:jc w:val="left"/>
              <w:rPr>
                <w:b/>
                <w:color w:val="000000"/>
              </w:rPr>
            </w:pPr>
            <w:r>
              <w:rPr>
                <w:b/>
                <w:color w:val="000000"/>
              </w:rPr>
              <w:t>Cash flows from investing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Purchase of property and equipment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Purchase of investments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(11,411</w:t>
            </w:r>
          </w:p>
        </w:tc>
        <w:tc>
          <w:tcPr>
            <w:tcW w:w="155"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Proceeds from sale or maturity of investments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5,173</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12,247</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Net cash provided by investing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5,165</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836</w:t>
            </w:r>
          </w:p>
        </w:tc>
        <w:tc>
          <w:tcPr>
            <w:tcW w:w="155"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44" w:right="0" w:hanging="144"/>
              <w:jc w:val="left"/>
              <w:rPr>
                <w:b/>
                <w:color w:val="000000"/>
              </w:rPr>
            </w:pPr>
            <w:r>
              <w:rPr>
                <w:b/>
                <w:color w:val="000000"/>
              </w:rPr>
              <w:t>Cash flows from financing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Payment of payroll taxes on equity awards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w:t>
            </w:r>
          </w:p>
        </w:tc>
        <w:tc>
          <w:tcPr>
            <w:tcW w:w="155"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Net cash used in financing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860" w:type="dxa"/>
            <w:tcBorders/>
            <w:vAlign w:val="bottom"/>
          </w:tcPr>
          <w:p>
            <w:pPr>
              <w:pStyle w:val="TableContents"/>
              <w:bidi w:val="0"/>
              <w:spacing w:before="0" w:after="0"/>
              <w:ind w:left="144" w:right="0" w:hanging="144"/>
              <w:jc w:val="left"/>
              <w:rPr>
                <w:color w:val="000000"/>
              </w:rPr>
            </w:pPr>
            <w:r>
              <w:rPr>
                <w:color w:val="000000"/>
              </w:rPr>
              <w:t>Net change in cash and cash equivalents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(2,458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(6,003</w:t>
            </w:r>
          </w:p>
        </w:tc>
        <w:tc>
          <w:tcPr>
            <w:tcW w:w="155" w:type="dxa"/>
            <w:tcBorders/>
            <w:vAlign w:val="bottom"/>
          </w:tcPr>
          <w:p>
            <w:pPr>
              <w:pStyle w:val="TableContents"/>
              <w:bidi w:val="0"/>
              <w:spacing w:before="0" w:after="0"/>
              <w:jc w:val="left"/>
              <w:rPr>
                <w:color w:val="000000"/>
              </w:rPr>
            </w:pPr>
            <w:r>
              <w:rPr>
                <w:color w:val="000000"/>
              </w:rPr>
              <w:t>)</w:t>
            </w:r>
          </w:p>
        </w:tc>
      </w:tr>
      <w:tr>
        <w:trPr/>
        <w:tc>
          <w:tcPr>
            <w:tcW w:w="6860" w:type="dxa"/>
            <w:tcBorders/>
            <w:shd w:fill="CCEEFF" w:val="clear"/>
            <w:vAlign w:val="bottom"/>
          </w:tcPr>
          <w:p>
            <w:pPr>
              <w:pStyle w:val="TableContents"/>
              <w:bidi w:val="0"/>
              <w:spacing w:before="0" w:after="0"/>
              <w:ind w:left="144" w:right="0" w:hanging="144"/>
              <w:jc w:val="left"/>
              <w:rPr>
                <w:color w:val="000000"/>
              </w:rPr>
            </w:pPr>
            <w:r>
              <w:rPr>
                <w:color w:val="000000"/>
              </w:rPr>
              <w:t>Cash and cash equivalents, beginning of period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15,548</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23,296</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Cash and cash equivalents, end of period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13,090</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17,293</w:t>
            </w:r>
          </w:p>
        </w:tc>
        <w:tc>
          <w:tcPr>
            <w:tcW w:w="155" w:type="dxa"/>
            <w:tcBorders/>
            <w:vAlign w:val="bottom"/>
          </w:tcPr>
          <w:p>
            <w:pPr>
              <w:pStyle w:val="TableContents"/>
              <w:bidi w:val="0"/>
              <w:spacing w:before="0" w:after="283"/>
              <w:jc w:val="left"/>
              <w:rPr/>
            </w:pPr>
            <w:r>
              <w:rPr/>
              <w:t> </w:t>
            </w:r>
          </w:p>
        </w:tc>
      </w:tr>
      <w:tr>
        <w:trPr/>
        <w:tc>
          <w:tcPr>
            <w:tcW w:w="6860" w:type="dxa"/>
            <w:tcBorders/>
            <w:shd w:fill="CCEEFF" w:val="clear"/>
            <w:vAlign w:val="bottom"/>
          </w:tcPr>
          <w:p>
            <w:pPr>
              <w:pStyle w:val="TableContents"/>
              <w:bidi w:val="0"/>
              <w:spacing w:before="0" w:after="0"/>
              <w:ind w:left="144" w:right="0" w:hanging="144"/>
              <w:jc w:val="left"/>
              <w:rPr>
                <w:b/>
                <w:color w:val="000000"/>
              </w:rPr>
            </w:pPr>
            <w:r>
              <w:rPr>
                <w:b/>
                <w:color w:val="000000"/>
              </w:rPr>
              <w:t>Non-cash transactions: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860" w:type="dxa"/>
            <w:tcBorders/>
            <w:vAlign w:val="bottom"/>
          </w:tcPr>
          <w:p>
            <w:pPr>
              <w:pStyle w:val="TableContents"/>
              <w:bidi w:val="0"/>
              <w:spacing w:before="0" w:after="0"/>
              <w:ind w:left="144" w:right="0" w:hanging="144"/>
              <w:jc w:val="left"/>
              <w:rPr>
                <w:color w:val="000000"/>
              </w:rPr>
            </w:pPr>
            <w:r>
              <w:rPr>
                <w:color w:val="000000"/>
              </w:rPr>
              <w:t>ROU asset and lease liability at lease modification date (Note 8)</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600</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w:t>
      </w:r>
      <w:bookmarkStart w:id="34" w:name="NOTESTOCONDENSEDCONSOLIDA"/>
      <w:bookmarkEnd w:id="34"/>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per share amounts)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 — Business Description and Going Concern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VirnetX Holding Corporation (“Company”, “we”, “us”, or “our”) is an Internet security software and technology company with patented cybersecurity solutions that are designed to ensure resilient, secure communications across any network or device.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products, including VirnetX iSCOUT, VirnetX One™, VirnetX Matrix™, and VirnetX War Room™, are designed to support the U.S. Department of Defense (DoD), federal government, and commercial customers requiring real-time encrypted communications and network security. Our VirnetX iSCOUT (IoT System for Connected Object Understanding and Telemetry) leverages a common, secure IoT and data infrastructure to fuse sensor, geospatial, and agency data into a unified operating picture, including in disaster response and smart city environments. Our solutions are designed to also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Going Concern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six months ended June 30, 2026, we had a net loss of $8,881 and an accumulated deficit of $231,776. Management believes that its cash and cash equivalents will be insufficient to satisfy the Company’s current operations for the twelve months following the issuance of these financial statements. As such, there is substantial doubt about the Company’s ability to continue as a going concern. Management’s plans to address this condition include pursuit of (1) additional revenue, although there can be no assurance that additional revenue will be timely-secured in sufficient quantity, and (2) additional capital, likely through one or more equity offerings, or otherwise, although there can be no assurance such financing will be available on acceptable terms. The financial statements do not include any adjustments that might result from the outcome of this uncertainty.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2 — Summary of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Unaudited Interim Financial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Condensed Consolidated Balance Sheet as of June 30, 2026, the Condensed Consolidated Statements of Operations, Condensed Consolidated Statements of Comprehensive Loss, and Condensed Consolidated Statements of Shareholders’ Equity for the three and six months ended June 30, 2026 and 2025, and the Condensed Consolidated Statements of Cash Flows for the six months ended June 30, 2026 and 2025 are unaudited. These unaudited interim condensed consolidated financial statements have been prepared in accordance with generally accepted accounting principles in the United States (U.S. GAAP). In our opinion, the unaudited interim condensed consolidated financial statements include all adjustments of a normal recurring nature necessary for the fair presentation of our financial position as of June 30, 2026, our results of operations for the three and six months ended June 30, 2026 and 2025, and our cash flows for the six months ended June 30, 2026 and 2025. The results of operations for interim periods are not necessarily indicative of the results to be expected for a full year.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unaudited interim condensed consolidated financial statements should be read in conjunction with the consolidated financial statements and related notes included in our Annual Report on Form 10-K for the fiscal year ended December 31, 2025, filed with the SEC on March 24, 2026.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Use of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prepare our condensed consolidated financial statements in accordance with U.S. GAAP. In doing so, we have to make estimates and assumptions that affect our reported amounts of assets, liabilities, revenues, and expenses, as well as related disclosure of contingent assets and liabilities. In some cases, we could reasonably have used different accounting policies and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or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and estimates, which we discuss further below. We have reviewed our critical accounting policies and estimates with the audit committee of our Board of Directors.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Investments classified as available-for-sale are recorded at fair market value. Unrealized gains and losses are reported as other comprehensive income. Realized gains and losses are recorded in income in the period they are realized using specific identification of each security’s cost basis. We invest our excess cash primarily in highly liquid debt instruments including corporate, government and federal agency securities, with contractual maturities less than two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elected the investment measurement alternative for other investments without readily determinable fair values. During 2023, we invested $2,000 in L2 Holdings LLC (dba OmniTeq) and $500 in OP Media Inc. These investments are carried at our initial cost less any impairment because we do not have the ability to exercise significant influence over operating and financial matters. For these investments, we adjust the carrying value for any purchases or sales of our ownership interests. Periodically, we evaluate these investments for impairment. If we identify an impairment, we reduce the carrying value for the impairment loss with a charge to operating expenses. In September 2025, we identified an impairment in our investment in OP Media Inc., and as a result, we recognized an impairment loss totaling $500.</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Basis of Consolidation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condensed consolidated financial statements include the accounts of VirnetX Holding Corporation and our wholly-owned subsidiaries. All intercompany balances and transactions have been eliminated.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 Recognition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may include professional services, hosted services, subscriptions and licenses, with revenue recognized pursuant to Accounting Standards Codification (ASC) Topic 606, Revenue from Contracts with Customers. A performance obligation is a promise in a contract to transfer a distinct good or service to the customer. A contract’s transaction price is allocated to each distinct performance obligation and recognized as revenue when, or as, the performance obligation is satisfied. Our revenue arrangements may consist of multiple-element arrangements, with revenue for each unit of accounting recognized as the product or service is delivered to the customer. With our service contracts, performance obligations are generally satisfied as the service is delivered. With the licensing of our patents, performance obligations are generally satisfied at a point in time as work is complete when our patent rights are transferred to our customers. We generally have no further obligation to our customers regarding our technology. Certain contracts may require our customers to enter into a hosting arrangement with us and for these arrangements, revenue is recognized over time, generally over the life of the service contract. Payment for services and licensing is collected within a short period following commencement of delivery of services or transfer of patent rights.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and Cash Equivalents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consider all highly liquid investments purchased with maturities of three months or less at the date of purchase to be cash equivalents. Our cash and cash equivalents are not subject to significant interest rate risk due to the short maturities of these investments.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Property and Equipment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are stated at historical cost, less accumulated depreciation and amortization. Depreciation and amortization are computed using the accelerated and straight-line methods over the estimated useful lives of the assets, which range from five to seven years. Repair and maintenance costs are charged to expense as incurred.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determine if an arrangement is a lease at inception in accordance with ASC Topic 842. Operating lease right-of-use (ROU) assets are included in prepaid expenses and other assets, and lease liabilities are included in other liabilities. 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using the incremental borrowing rate.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Concentration of Credit Risk and Other Risks and Uncertainties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cash and cash equivalents are primarily maintained at two major financial institutions in the United States. Deposits held with these financial institutions may exceed the amount of insurance provided on such deposits. A portion of those balances are insured by the Federal Deposit Insurance Corporation. At times, we had funds that were uninsured. We do not believe that we are subject to any unusual financial risk beyond the normal risk associated with commercial banking relationships. We have not experienced any losses on our deposits of cash and cash equivalents.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Fair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amounts of our financial instruments, including cash equivalents, accounts payable, and accrued liabilities, approximate fair value because of their generally short maturities.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Intangible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record intangible assets at cost, less accumulated amortization. Amortization of intangible assets is provided over their estimated useful lives, which can range from three to 15 years, on either a straight-line basis or as revenue is generated by the assets.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Impairment of Long-Lived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identify and record impairment losses on long-lived assets used in operations when events and changes in circumstances indicate that the carrying amount of an asset might not be recoverable, but not less than annually. Recoverability is measured by comparison of the anticipated future net undiscounted cash flows to the related assets’ carrying value. If such assets are deemed impaired, the impairment to be recognized is measured by the amount by which the carrying amount of the assets exceeds the projected discounted future net cash flows arising from the asset.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costs include expenses paid to outside development consultants and compensation related expenses for our engineering staff. Research and development costs are expensed as incurred.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account for income taxes using the asset and liability method. The asset and liability method requires the recognition of deferred tax assets and liabilities for expected future tax consequences of temporary differences that currently exist between the tax basis and financial reporting basis of our assets and liabilities. We calculate current and deferred tax provisions based on estimates and assumptions that could differ from actual results reflected on the income tax returns filed during the following years. Adjustments based on filed returns are recorded when identified in the subsequent years. The effect on deferred taxes for a change in tax rates is recognized in income in the period that the tax rate change is enacted. In assessing our deferred tax assets, we consider whether it is more likely than not that all or some portion of the deferred tax assets will not be realized.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valuation allowance is provided for deferred income tax assets when, in our judgment, based upon currently available information and other factors, it is more likely than not that all or a portion of such deferred income tax assets will not be realized. The determination of the need for a valuation allowance is based on an on-going evaluation of current information including, among other things, historical operating results, estimates of future earnings in different taxing jurisdictions and the expected timing of the reversals of temporary differences. We believe the determination to record a valuation allowance to reduce a deferred income tax asset is a significant accounting estimate because it is based, among other things, on an estimate of future taxable income in the United States and certain other jurisdictions, which is susceptible to change and may or may not occur, and because the impact of adjusting a valuation allowance may be material. In determining when to release the valuation allowance established against our net deferred income tax assets, we consider all available evidence, both positive and negative. We continually assess our ability to generate sufficient taxable income during future periods in which our deferred tax assets may be realized. If and when we believe it is more likely than not that we will recover our deferred tax assets, we will reverse the valuation allowance as an income tax benefit in our statements of operations.</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account for our uncertain tax positions in accordance with U.S. GAAP, which utilizes a two-step approach to evaluate tax positions. Step one, recognition, requires evaluation of the tax position to determine if based solely on technical merits it is more likely than not to be sustained upon examination. Step two, measurement, is addressed only if a position is more likely than not to be sustained. In step two, the tax benefit is measured as the largest amount of benefit, determined on a cumulative probability basis, which is more likely than not to be realized upon ultimate settlement with tax authorities. If a position does not meet the more likely than not threshold for recognition in step one, no benefit is recorded until the first subsequent period in which the more likely than not standard is met, the issue is resolved with the taxing authority, or the statute of limitations expires. Positions previously recognized are reversed if and when we subsequently determine the position no longer is more likely than not to be sustained. Evaluation of tax positions, their technical merits, and measurements using cumulative probability are highly subjective management estimates. Actual results could differ materially from these estimates.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Stock-Based Compensation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account for stock-based compensation using the fair value recognition method in accordance with U.S. GAAP. We recognize these compensation costs on a straight-line basis over the requisite service period of the award, which is generally a vesting term of 4 years. We recognize forfeitures, if any, when they occur. In addition, we record stock-based compensation expense for awards granted to non-employees at fair value of the consideration received or the fair value of the equity instruments issued, as they vest, over the performance period.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Basic earnings per share are computed by dividing earnings available to common stockholders by the weighted average number of common shares outstanding during the period. Diluted earnings per share are computed by dividing net income by the weighted average number of shares outstanding during the period increased to include the number of additional shares of common stock that would have been outstanding if the potentially dilutive securities had been issued. Additionally, weighted average shares outstanding for both basic and diluted earnings per share include all vested restricted shares issued and outstanding.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New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November 2024, the FASB issued Accounting Standards Update (ASU) 2024-03, </w:t>
      </w:r>
      <w:r>
        <w:rPr>
          <w:rFonts w:ascii="Times New Roman" w:hAnsi="Times New Roman"/>
          <w:i/>
          <w:color w:val="000000"/>
          <w:sz w:val="20"/>
          <w:shd w:fill="FFFFFF" w:val="clear"/>
        </w:rPr>
        <w:t>Income Statement—Reporting Comprehensive Income—Expense Disaggregation (Subtopic 220-40): Disaggregation of Income Statement Expenses</w:t>
      </w:r>
      <w:r>
        <w:rPr>
          <w:rFonts w:ascii="Times New Roman" w:hAnsi="Times New Roman"/>
          <w:color w:val="000000"/>
          <w:sz w:val="20"/>
          <w:shd w:fill="FFFFFF" w:val="clear"/>
        </w:rPr>
        <w:t>, that requires disclosure of the amounts of purchases of inventory, employee compensation, depreciation, and intangible asset amortization included in each relevant expense line item on the income statement. The standard also requires a qualitative description of other amounts included in each relevant expense line item on the income statement that are not separately disclosed. In addition, entities are required to disclose the nature and amount of selling expenses. The new standard is effective for annual reporting periods beginning after December 15, 2026, and interim reporting periods beginning after December 15, 2027. Early adoption is permitted. We do not expect the adoption of this accounting standard to have an impact on our consolidated financial statements but will require certain additional disclosures.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2025, the FASB issued ASU 2025-10, </w:t>
      </w:r>
      <w:r>
        <w:rPr>
          <w:rFonts w:ascii="Times New Roman" w:hAnsi="Times New Roman"/>
          <w:i/>
          <w:color w:val="000000"/>
          <w:sz w:val="20"/>
          <w:shd w:fill="FFFFFF" w:val="clear"/>
        </w:rPr>
        <w:t>Government Grants (Topic 832): Accounting for Government Grants Received by Business Entities</w:t>
      </w:r>
      <w:r>
        <w:rPr>
          <w:rFonts w:ascii="Times New Roman" w:hAnsi="Times New Roman"/>
          <w:color w:val="000000"/>
          <w:sz w:val="20"/>
          <w:shd w:fill="FFFFFF" w:val="clear"/>
        </w:rPr>
        <w:t>,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this standard.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2025, the FASB issued ASU 2025-11, </w:t>
      </w:r>
      <w:r>
        <w:rPr>
          <w:rFonts w:ascii="Times New Roman" w:hAnsi="Times New Roman"/>
          <w:i/>
          <w:color w:val="000000"/>
          <w:sz w:val="20"/>
          <w:shd w:fill="FFFFFF" w:val="clear"/>
        </w:rPr>
        <w:t>Interim Reporting (Topic 270): Narrow-Scope Improvements</w:t>
      </w:r>
      <w:r>
        <w:rPr>
          <w:rFonts w:ascii="Times New Roman" w:hAnsi="Times New Roman"/>
          <w:color w:val="000000"/>
          <w:sz w:val="20"/>
          <w:shd w:fill="FFFFFF" w:val="clear"/>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this standard.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Fair Value of Financial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amounts of our financial instruments, including cash equivalents, accounts payable, and accrued liabilities, approximate fair value because of their generally short maturities.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the price that would result from an orderly transaction between market participants at the measurement date. A fair value hierarchy prioritizes the inputs used to measure fair value. The hierarchy gives the highest priority to unadjusted quoted prices in active markets for identical assets or liabilities (Level 1 measurement) and the lowest priority to unobservable inputs (Level 3 measurement). Level 2 measurements utilize either directly or indirectly observable inputs in markets other than quoted prices in active markets.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Mutual funds: </w:t>
      </w:r>
      <w:r>
        <w:rPr>
          <w:rFonts w:ascii="Times New Roman" w:hAnsi="Times New Roman"/>
          <w:color w:val="000000"/>
          <w:sz w:val="20"/>
          <w:shd w:fill="FFFFFF" w:val="clear"/>
        </w:rPr>
        <w:t>Valued at the quoted net asset value of shares held.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U.S. agency and treasury securities:</w:t>
      </w:r>
      <w:r>
        <w:rPr>
          <w:rFonts w:ascii="Times New Roman" w:hAnsi="Times New Roman"/>
          <w:color w:val="000000"/>
          <w:sz w:val="20"/>
          <w:shd w:fill="FFFFFF" w:val="clear"/>
        </w:rPr>
        <w:t xml:space="preserve"> Valued at the closing price reported on the active market on which the individual securities are traded.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show the adjusted cost, gross unrealized gains, gross unrealized losses, and fair value of our securities by significant investment category as of June 30, 2026 and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86a9355235784ba8a3418166269f5e34"/>
      <w:bookmarkStart w:id="36" w:name="z86a9355235784ba8a3418166269f5e34"/>
      <w:bookmarkEnd w:id="36"/>
    </w:p>
    <w:tbl>
      <w:tblPr>
        <w:tblW w:w="10205" w:type="dxa"/>
        <w:jc w:val="left"/>
        <w:tblInd w:w="0" w:type="dxa"/>
        <w:tblLayout w:type="fixed"/>
        <w:tblCellMar>
          <w:top w:w="0" w:type="dxa"/>
          <w:left w:w="0" w:type="dxa"/>
          <w:bottom w:w="0" w:type="dxa"/>
          <w:right w:w="0" w:type="dxa"/>
        </w:tblCellMar>
      </w:tblPr>
      <w:tblGrid>
        <w:gridCol w:w="2217"/>
        <w:gridCol w:w="90"/>
        <w:gridCol w:w="189"/>
        <w:gridCol w:w="791"/>
        <w:gridCol w:w="90"/>
        <w:gridCol w:w="90"/>
        <w:gridCol w:w="428"/>
        <w:gridCol w:w="732"/>
        <w:gridCol w:w="90"/>
        <w:gridCol w:w="90"/>
        <w:gridCol w:w="428"/>
        <w:gridCol w:w="732"/>
        <w:gridCol w:w="125"/>
        <w:gridCol w:w="90"/>
        <w:gridCol w:w="198"/>
        <w:gridCol w:w="828"/>
        <w:gridCol w:w="90"/>
        <w:gridCol w:w="90"/>
        <w:gridCol w:w="241"/>
        <w:gridCol w:w="1009"/>
        <w:gridCol w:w="90"/>
        <w:gridCol w:w="90"/>
        <w:gridCol w:w="370"/>
        <w:gridCol w:w="895"/>
        <w:gridCol w:w="122"/>
      </w:tblGrid>
      <w:tr>
        <w:trPr/>
        <w:tc>
          <w:tcPr>
            <w:tcW w:w="22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76"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122" w:type="dxa"/>
            <w:tcBorders/>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Adjusted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Cash and</w:t>
            </w:r>
          </w:p>
          <w:p>
            <w:pPr>
              <w:pStyle w:val="TableContents"/>
              <w:bidi w:val="0"/>
              <w:spacing w:before="0" w:after="0"/>
              <w:jc w:val="center"/>
              <w:rPr>
                <w:b/>
                <w:color w:val="000000"/>
              </w:rPr>
            </w:pPr>
            <w:r>
              <w:rPr>
                <w:b/>
                <w:color w:val="000000"/>
              </w:rPr>
              <w:t>Cash</w:t>
            </w:r>
          </w:p>
          <w:p>
            <w:pPr>
              <w:pStyle w:val="TableContents"/>
              <w:bidi w:val="0"/>
              <w:spacing w:before="0" w:after="0"/>
              <w:jc w:val="center"/>
              <w:rPr>
                <w:b/>
                <w:color w:val="000000"/>
              </w:rPr>
            </w:pPr>
            <w:r>
              <w:rPr>
                <w:b/>
                <w:color w:val="000000"/>
              </w:rPr>
              <w:t>Equivalents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p>
            <w:pPr>
              <w:pStyle w:val="TableContents"/>
              <w:bidi w:val="0"/>
              <w:spacing w:before="0" w:after="0"/>
              <w:jc w:val="center"/>
              <w:rPr>
                <w:b/>
                <w:color w:val="000000"/>
              </w:rPr>
            </w:pPr>
            <w:r>
              <w:rPr>
                <w:b/>
                <w:color w:val="000000"/>
              </w:rPr>
              <w:t>Available</w:t>
            </w:r>
          </w:p>
          <w:p>
            <w:pPr>
              <w:pStyle w:val="TableContents"/>
              <w:bidi w:val="0"/>
              <w:spacing w:before="0" w:after="0"/>
              <w:jc w:val="center"/>
              <w:rPr>
                <w:b/>
                <w:color w:val="000000"/>
              </w:rPr>
            </w:pPr>
            <w:r>
              <w:rPr>
                <w:b/>
                <w:color w:val="000000"/>
              </w:rPr>
              <w:t>For Sale</w:t>
            </w:r>
          </w:p>
        </w:tc>
        <w:tc>
          <w:tcPr>
            <w:tcW w:w="122" w:type="dxa"/>
            <w:tcBorders/>
            <w:vAlign w:val="bottom"/>
          </w:tcPr>
          <w:p>
            <w:pPr>
              <w:pStyle w:val="TableContents"/>
              <w:bidi w:val="0"/>
              <w:spacing w:before="0" w:after="283"/>
              <w:jc w:val="left"/>
              <w:rPr/>
            </w:pPr>
            <w:r>
              <w:rPr/>
              <w:t> </w:t>
            </w:r>
          </w:p>
        </w:tc>
      </w:tr>
      <w:tr>
        <w:trPr/>
        <w:tc>
          <w:tcPr>
            <w:tcW w:w="2217" w:type="dxa"/>
            <w:tcBorders/>
            <w:shd w:fill="CCEEFF" w:val="clear"/>
            <w:vAlign w:val="bottom"/>
          </w:tcPr>
          <w:p>
            <w:pPr>
              <w:pStyle w:val="TableContents"/>
              <w:bidi w:val="0"/>
              <w:spacing w:before="0" w:after="0"/>
              <w:ind w:left="144" w:right="0" w:hanging="144"/>
              <w:jc w:val="left"/>
              <w:rPr>
                <w:color w:val="000000"/>
              </w:rPr>
            </w:pPr>
            <w:r>
              <w:rPr>
                <w:color w:val="000000"/>
              </w:rPr>
              <w:t>Cash</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2" w:type="dxa"/>
            <w:tcBorders/>
            <w:shd w:fill="CCEEFF" w:val="clear"/>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0"/>
              <w:ind w:left="144" w:right="0" w:hanging="144"/>
              <w:jc w:val="left"/>
              <w:rPr>
                <w:color w:val="000000"/>
              </w:rPr>
            </w:pPr>
            <w:r>
              <w:rPr>
                <w:color w:val="000000"/>
              </w:rPr>
              <w:t>Level 1:</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2217" w:type="dxa"/>
            <w:tcBorders/>
            <w:shd w:fill="CCEEFF" w:val="clear"/>
            <w:vAlign w:val="bottom"/>
          </w:tcPr>
          <w:p>
            <w:pPr>
              <w:pStyle w:val="TableContents"/>
              <w:bidi w:val="0"/>
              <w:spacing w:before="0" w:after="0"/>
              <w:ind w:left="144" w:right="0" w:hanging="144"/>
              <w:jc w:val="left"/>
              <w:rPr>
                <w:color w:val="000000"/>
              </w:rPr>
            </w:pPr>
            <w:r>
              <w:rPr>
                <w:color w:val="000000"/>
              </w:rPr>
              <w:t>Mutual funds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12,198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color w:val="000000"/>
              </w:rPr>
            </w:pPr>
            <w:r>
              <w:rPr>
                <w:color w:val="000000"/>
              </w:rPr>
              <w:t>12,198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color w:val="000000"/>
              </w:rPr>
            </w:pPr>
            <w:r>
              <w:rPr>
                <w:color w:val="000000"/>
              </w:rPr>
              <w:t>12,198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color w:val="000000"/>
              </w:rPr>
            </w:pPr>
            <w:r>
              <w:rPr>
                <w:color w:val="000000"/>
              </w:rPr>
              <w:t>—</w:t>
            </w:r>
          </w:p>
        </w:tc>
        <w:tc>
          <w:tcPr>
            <w:tcW w:w="122" w:type="dxa"/>
            <w:tcBorders/>
            <w:shd w:fill="CCEEFF" w:val="clear"/>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0"/>
              <w:ind w:left="144" w:right="0" w:hanging="144"/>
              <w:jc w:val="left"/>
              <w:rPr>
                <w:color w:val="000000"/>
              </w:rPr>
            </w:pPr>
            <w:r>
              <w:rPr>
                <w:color w:val="000000"/>
              </w:rPr>
              <w:t>U.S. agency and treasury securities</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799</w:t>
            </w:r>
          </w:p>
        </w:tc>
        <w:tc>
          <w:tcPr>
            <w:tcW w:w="122" w:type="dxa"/>
            <w:tcBorders/>
            <w:vAlign w:val="bottom"/>
          </w:tcPr>
          <w:p>
            <w:pPr>
              <w:pStyle w:val="TableContents"/>
              <w:bidi w:val="0"/>
              <w:spacing w:before="0" w:after="283"/>
              <w:jc w:val="left"/>
              <w:rPr/>
            </w:pPr>
            <w:r>
              <w:rPr/>
              <w:t> </w:t>
            </w:r>
          </w:p>
        </w:tc>
      </w:tr>
      <w:tr>
        <w:trPr/>
        <w:tc>
          <w:tcPr>
            <w:tcW w:w="221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12,998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12,997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799</w:t>
            </w:r>
          </w:p>
        </w:tc>
        <w:tc>
          <w:tcPr>
            <w:tcW w:w="122" w:type="dxa"/>
            <w:tcBorders/>
            <w:shd w:fill="CCEEFF" w:val="clear"/>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0"/>
              <w:ind w:left="144" w:right="0" w:hanging="144"/>
              <w:jc w:val="left"/>
              <w:rPr>
                <w:color w:val="000000"/>
              </w:rPr>
            </w:pPr>
            <w:r>
              <w:rPr>
                <w:color w:val="000000"/>
              </w:rPr>
              <w:t>Total</w:t>
            </w:r>
          </w:p>
        </w:tc>
        <w:tc>
          <w:tcPr>
            <w:tcW w:w="90" w:type="dxa"/>
            <w:tcBorders/>
            <w:vAlign w:val="bottom"/>
          </w:tcPr>
          <w:p>
            <w:pPr>
              <w:pStyle w:val="TableContents"/>
              <w:bidi w:val="0"/>
              <w:spacing w:before="0" w:after="283"/>
              <w:jc w:val="lef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13,890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2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13,889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13,090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9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799</w:t>
            </w:r>
          </w:p>
        </w:tc>
        <w:tc>
          <w:tcPr>
            <w:tcW w:w="12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37" w:name="zba17836c3a0e453099d3176eb37f2937"/>
      <w:bookmarkStart w:id="38" w:name="zba17836c3a0e453099d3176eb37f2937"/>
      <w:bookmarkEnd w:id="38"/>
    </w:p>
    <w:tbl>
      <w:tblPr>
        <w:tblW w:w="10205" w:type="dxa"/>
        <w:jc w:val="left"/>
        <w:tblInd w:w="0" w:type="dxa"/>
        <w:tblLayout w:type="fixed"/>
        <w:tblCellMar>
          <w:top w:w="0" w:type="dxa"/>
          <w:left w:w="0" w:type="dxa"/>
          <w:bottom w:w="0" w:type="dxa"/>
          <w:right w:w="0" w:type="dxa"/>
        </w:tblCellMar>
      </w:tblPr>
      <w:tblGrid>
        <w:gridCol w:w="2249"/>
        <w:gridCol w:w="90"/>
        <w:gridCol w:w="189"/>
        <w:gridCol w:w="791"/>
        <w:gridCol w:w="90"/>
        <w:gridCol w:w="90"/>
        <w:gridCol w:w="428"/>
        <w:gridCol w:w="732"/>
        <w:gridCol w:w="90"/>
        <w:gridCol w:w="90"/>
        <w:gridCol w:w="428"/>
        <w:gridCol w:w="732"/>
        <w:gridCol w:w="90"/>
        <w:gridCol w:w="90"/>
        <w:gridCol w:w="199"/>
        <w:gridCol w:w="831"/>
        <w:gridCol w:w="90"/>
        <w:gridCol w:w="90"/>
        <w:gridCol w:w="241"/>
        <w:gridCol w:w="1009"/>
        <w:gridCol w:w="90"/>
        <w:gridCol w:w="90"/>
        <w:gridCol w:w="282"/>
        <w:gridCol w:w="983"/>
        <w:gridCol w:w="121"/>
      </w:tblGrid>
      <w:tr>
        <w:trPr/>
        <w:tc>
          <w:tcPr>
            <w:tcW w:w="2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4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21" w:type="dxa"/>
            <w:tcBorders/>
            <w:vAlign w:val="bottom"/>
          </w:tcPr>
          <w:p>
            <w:pPr>
              <w:pStyle w:val="TableContents"/>
              <w:bidi w:val="0"/>
              <w:spacing w:before="0" w:after="283"/>
              <w:jc w:val="left"/>
              <w:rPr/>
            </w:pPr>
            <w:r>
              <w:rPr/>
              <w:t> </w:t>
            </w:r>
          </w:p>
        </w:tc>
      </w:tr>
      <w:tr>
        <w:trPr/>
        <w:tc>
          <w:tcPr>
            <w:tcW w:w="224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Adjusted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Cash and</w:t>
            </w:r>
          </w:p>
          <w:p>
            <w:pPr>
              <w:pStyle w:val="TableContents"/>
              <w:bidi w:val="0"/>
              <w:spacing w:before="0" w:after="0"/>
              <w:jc w:val="center"/>
              <w:rPr>
                <w:b/>
                <w:color w:val="000000"/>
              </w:rPr>
            </w:pPr>
            <w:r>
              <w:rPr>
                <w:b/>
                <w:color w:val="000000"/>
              </w:rPr>
              <w:t>Cash</w:t>
            </w:r>
          </w:p>
          <w:p>
            <w:pPr>
              <w:pStyle w:val="TableContents"/>
              <w:bidi w:val="0"/>
              <w:spacing w:before="0" w:after="0"/>
              <w:jc w:val="center"/>
              <w:rPr>
                <w:b/>
                <w:color w:val="000000"/>
              </w:rPr>
            </w:pPr>
            <w:r>
              <w:rPr>
                <w:b/>
                <w:color w:val="000000"/>
              </w:rPr>
              <w:t>Equivalents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p>
            <w:pPr>
              <w:pStyle w:val="TableContents"/>
              <w:bidi w:val="0"/>
              <w:spacing w:before="0" w:after="0"/>
              <w:jc w:val="center"/>
              <w:rPr>
                <w:b/>
                <w:color w:val="000000"/>
              </w:rPr>
            </w:pPr>
            <w:r>
              <w:rPr>
                <w:b/>
                <w:color w:val="000000"/>
              </w:rPr>
              <w:t>Available</w:t>
            </w:r>
          </w:p>
          <w:p>
            <w:pPr>
              <w:pStyle w:val="TableContents"/>
              <w:bidi w:val="0"/>
              <w:spacing w:before="0" w:after="0"/>
              <w:jc w:val="center"/>
              <w:rPr>
                <w:b/>
                <w:color w:val="000000"/>
              </w:rPr>
            </w:pPr>
            <w:r>
              <w:rPr>
                <w:b/>
                <w:color w:val="000000"/>
              </w:rPr>
              <w:t>for</w:t>
            </w:r>
          </w:p>
          <w:p>
            <w:pPr>
              <w:pStyle w:val="TableContents"/>
              <w:bidi w:val="0"/>
              <w:spacing w:before="0" w:after="0"/>
              <w:jc w:val="center"/>
              <w:rPr>
                <w:b/>
                <w:color w:val="000000"/>
              </w:rPr>
            </w:pPr>
            <w:r>
              <w:rPr>
                <w:b/>
                <w:color w:val="000000"/>
              </w:rPr>
              <w:t>Sale</w:t>
            </w:r>
          </w:p>
        </w:tc>
        <w:tc>
          <w:tcPr>
            <w:tcW w:w="121" w:type="dxa"/>
            <w:tcBorders/>
            <w:vAlign w:val="bottom"/>
          </w:tcPr>
          <w:p>
            <w:pPr>
              <w:pStyle w:val="TableContents"/>
              <w:bidi w:val="0"/>
              <w:spacing w:before="0" w:after="283"/>
              <w:jc w:val="left"/>
              <w:rPr/>
            </w:pPr>
            <w:r>
              <w:rPr/>
              <w:t> </w:t>
            </w:r>
          </w:p>
        </w:tc>
      </w:tr>
      <w:tr>
        <w:trPr/>
        <w:tc>
          <w:tcPr>
            <w:tcW w:w="2249" w:type="dxa"/>
            <w:tcBorders/>
            <w:shd w:fill="CCEEFF" w:val="clear"/>
            <w:vAlign w:val="bottom"/>
          </w:tcPr>
          <w:p>
            <w:pPr>
              <w:pStyle w:val="TableContents"/>
              <w:bidi w:val="0"/>
              <w:spacing w:before="0" w:after="0"/>
              <w:ind w:left="144" w:right="0" w:hanging="144"/>
              <w:jc w:val="left"/>
              <w:rPr>
                <w:color w:val="000000"/>
              </w:rPr>
            </w:pPr>
            <w:r>
              <w:rPr>
                <w:color w:val="000000"/>
              </w:rPr>
              <w:t>Cash</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1" w:type="dxa"/>
            <w:tcBorders/>
            <w:shd w:fill="CCEEFF" w:val="clear"/>
            <w:vAlign w:val="bottom"/>
          </w:tcPr>
          <w:p>
            <w:pPr>
              <w:pStyle w:val="TableContents"/>
              <w:bidi w:val="0"/>
              <w:spacing w:before="0" w:after="283"/>
              <w:jc w:val="left"/>
              <w:rPr/>
            </w:pPr>
            <w:r>
              <w:rPr/>
              <w:t> </w:t>
            </w:r>
          </w:p>
        </w:tc>
      </w:tr>
      <w:tr>
        <w:trPr/>
        <w:tc>
          <w:tcPr>
            <w:tcW w:w="2249" w:type="dxa"/>
            <w:tcBorders/>
            <w:vAlign w:val="bottom"/>
          </w:tcPr>
          <w:p>
            <w:pPr>
              <w:pStyle w:val="TableContents"/>
              <w:bidi w:val="0"/>
              <w:spacing w:before="0" w:after="0"/>
              <w:ind w:left="144" w:right="0" w:hanging="144"/>
              <w:jc w:val="left"/>
              <w:rPr>
                <w:color w:val="000000"/>
              </w:rPr>
            </w:pPr>
            <w:r>
              <w:rPr>
                <w:color w:val="000000"/>
              </w:rPr>
              <w:t>Level 1:</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r>
      <w:tr>
        <w:trPr/>
        <w:tc>
          <w:tcPr>
            <w:tcW w:w="2249" w:type="dxa"/>
            <w:tcBorders/>
            <w:shd w:fill="CCEEFF" w:val="clear"/>
            <w:vAlign w:val="bottom"/>
          </w:tcPr>
          <w:p>
            <w:pPr>
              <w:pStyle w:val="TableContents"/>
              <w:bidi w:val="0"/>
              <w:spacing w:before="0" w:after="0"/>
              <w:ind w:left="144" w:right="0" w:hanging="144"/>
              <w:jc w:val="left"/>
              <w:rPr>
                <w:color w:val="000000"/>
              </w:rPr>
            </w:pPr>
            <w:r>
              <w:rPr>
                <w:color w:val="000000"/>
              </w:rPr>
              <w:t>Mutual funds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14,747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0"/>
              <w:jc w:val="right"/>
              <w:rPr>
                <w:color w:val="000000"/>
              </w:rPr>
            </w:pPr>
            <w:r>
              <w:rPr>
                <w:color w:val="000000"/>
              </w:rPr>
              <w:t>14,747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color w:val="000000"/>
              </w:rPr>
            </w:pPr>
            <w:r>
              <w:rPr>
                <w:color w:val="000000"/>
              </w:rPr>
              <w:t>14,747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color w:val="000000"/>
              </w:rPr>
            </w:pPr>
            <w:r>
              <w:rPr>
                <w:color w:val="000000"/>
              </w:rPr>
              <w:t>—</w:t>
            </w:r>
          </w:p>
        </w:tc>
        <w:tc>
          <w:tcPr>
            <w:tcW w:w="121" w:type="dxa"/>
            <w:tcBorders/>
            <w:shd w:fill="CCEEFF" w:val="clear"/>
            <w:vAlign w:val="bottom"/>
          </w:tcPr>
          <w:p>
            <w:pPr>
              <w:pStyle w:val="TableContents"/>
              <w:bidi w:val="0"/>
              <w:spacing w:before="0" w:after="283"/>
              <w:jc w:val="left"/>
              <w:rPr/>
            </w:pPr>
            <w:r>
              <w:rPr/>
              <w:t> </w:t>
            </w:r>
          </w:p>
        </w:tc>
      </w:tr>
      <w:tr>
        <w:trPr/>
        <w:tc>
          <w:tcPr>
            <w:tcW w:w="2249" w:type="dxa"/>
            <w:tcBorders/>
            <w:vAlign w:val="bottom"/>
          </w:tcPr>
          <w:p>
            <w:pPr>
              <w:pStyle w:val="TableContents"/>
              <w:bidi w:val="0"/>
              <w:spacing w:before="0" w:after="0"/>
              <w:ind w:left="144" w:right="0" w:hanging="144"/>
              <w:jc w:val="left"/>
              <w:rPr>
                <w:color w:val="000000"/>
              </w:rPr>
            </w:pPr>
            <w:r>
              <w:rPr>
                <w:color w:val="000000"/>
              </w:rPr>
              <w:t>U.S. agency and treasury securities</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2"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5,979</w:t>
            </w:r>
          </w:p>
        </w:tc>
        <w:tc>
          <w:tcPr>
            <w:tcW w:w="121" w:type="dxa"/>
            <w:tcBorders/>
            <w:vAlign w:val="bottom"/>
          </w:tcPr>
          <w:p>
            <w:pPr>
              <w:pStyle w:val="TableContents"/>
              <w:bidi w:val="0"/>
              <w:spacing w:before="0" w:after="283"/>
              <w:jc w:val="left"/>
              <w:rPr/>
            </w:pPr>
            <w:r>
              <w:rPr/>
              <w:t> </w:t>
            </w:r>
          </w:p>
        </w:tc>
      </w:tr>
      <w:tr>
        <w:trPr/>
        <w:tc>
          <w:tcPr>
            <w:tcW w:w="224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20,726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5,979</w:t>
            </w:r>
          </w:p>
        </w:tc>
        <w:tc>
          <w:tcPr>
            <w:tcW w:w="121" w:type="dxa"/>
            <w:tcBorders/>
            <w:shd w:fill="CCEEFF" w:val="clear"/>
            <w:vAlign w:val="bottom"/>
          </w:tcPr>
          <w:p>
            <w:pPr>
              <w:pStyle w:val="TableContents"/>
              <w:bidi w:val="0"/>
              <w:spacing w:before="0" w:after="283"/>
              <w:jc w:val="left"/>
              <w:rPr/>
            </w:pPr>
            <w:r>
              <w:rPr/>
              <w:t> </w:t>
            </w:r>
          </w:p>
        </w:tc>
      </w:tr>
      <w:tr>
        <w:trPr/>
        <w:tc>
          <w:tcPr>
            <w:tcW w:w="2249" w:type="dxa"/>
            <w:tcBorders/>
            <w:vAlign w:val="bottom"/>
          </w:tcPr>
          <w:p>
            <w:pPr>
              <w:pStyle w:val="TableContents"/>
              <w:bidi w:val="0"/>
              <w:spacing w:before="0" w:after="0"/>
              <w:ind w:left="144" w:right="0" w:hanging="144"/>
              <w:jc w:val="left"/>
              <w:rPr>
                <w:color w:val="000000"/>
              </w:rPr>
            </w:pPr>
            <w:r>
              <w:rPr>
                <w:color w:val="000000"/>
              </w:rPr>
              <w:t>Total</w:t>
            </w:r>
          </w:p>
        </w:tc>
        <w:tc>
          <w:tcPr>
            <w:tcW w:w="90" w:type="dxa"/>
            <w:tcBorders/>
            <w:vAlign w:val="bottom"/>
          </w:tcPr>
          <w:p>
            <w:pPr>
              <w:pStyle w:val="TableContents"/>
              <w:bidi w:val="0"/>
              <w:spacing w:before="0" w:after="283"/>
              <w:jc w:val="lef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21,523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21,527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15,548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5,979</w:t>
            </w:r>
          </w:p>
        </w:tc>
        <w:tc>
          <w:tcPr>
            <w:tcW w:w="12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3 —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months ended June 30, 2026 and 2025, we recognized no income tax expense in both periods on pretax losses of $4,527 and $3,621.  For the six months ended June 30, 2026 and 2025, we recognized income tax expense of $0 and $2, on pretax losses of $8,881 and $7,298.  Our effective tax rate is approximately 0% for all periods. Our effective tax rate differed from the federal statutory rate of 21%, primarily due to the valuation allowance placed against our net deferred tax assets. We have a full valuation allowance on all federal and state deferred tax assets as of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tax years for 2007 and forward are subject to examination by the U.S. tax authority and our tax years for 2021 and forward are open for various state tax authorities because we utilized the net operating loss and tax credits generated in those years in 2020. As of June 30, 2026, we have accrued $484 for uncertain tax positions and no interest and penalties related to these positions and do not expect significant changes to the estimate in the coming twelve months.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4 — Commitments and Related Party Transactions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non-exclusive service agreement for the use of an aircraft from K2 Investment Fund LLC (LLC) for business travel for our employees. We incurred approximately $566 and $380 during the three months ended June 30, 2026 and 2025, respectively. We incurred approximately $1,126 and $756 during the six months ended June 30, 2026 and 2025, respectively. At June 30, 2026, $98 due to the LLC was included in accounts payable. We pay for our use of the aircraft and have no rights to purchase. Our Chief Executive Officer and Chief Administrative Officer are the managing partners of the LLC and control the equity interests of the LLC. The agreement with the LLC provides for use of the plane at a rate of $12 per flight hour; prior to April 1, 2026 the rate was $9.8 per flight hour. The agreement contains no minimum usage requirement and includes other terms and conditions. The agreement can be cancelled by either us or the LLC with 30 days’ notice and renews on an annual basis unless terminated by either party. Neither party has exercised their termination rights.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Note 8 – Leases for further discussion of our lease commitments.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5 — Stock-Based Compensation</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Our stockholders approved the Amended and Restated 2013 Equity Incentive Plan at our annual shareholders’ meeting in June 2026, which added a million shares to the plan; at</w:t>
      </w:r>
      <w:r>
        <w:rPr>
          <w:rFonts w:ascii="Times New Roman" w:hAnsi="Times New Roman"/>
          <w:color w:val="000000"/>
          <w:sz w:val="20"/>
          <w:shd w:fill="FFFFFF" w:val="clear"/>
        </w:rPr>
        <w:t xml:space="preserve"> June 30, 2026, there were 1,133,720 shares available for grant under the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Stock-based compensation expense included in general and administrative expense was $397 and $237, and in research and development expense was $346 and $204, for the three months ended June 30, 2026 and 2025, respectively. Stock-based compensation expense included in general and administrative expense was $789 and $427, and in research and development expense was $693 and $445, for the six months ended June 30, 2026 and 2025,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30,000 restricted stock awards were granted in both June 2026 (weighted average price of $12.72 per share) and June 2025 (weighted average price of $8.90 per share). No other awards were issued.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and 2025, the unrecognized stock-based compensation expense related to unvested awards (including stock options, RSUs, and restricted stock) was $8,326 and $3,825, respectively, which will be amortized over an estimated weighted average period of approximately 2.91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six months ended June 30, 2026 and 2025, we cancelled 56,808 and 11,286 awards, respectively, and added them back to the plan.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6 — Equity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Common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six months ended June 30, 2026, we issued 30,000 shares of restricted stock as well as 1,561 shares of common stock pursuant to vesting RSUs. During the six months ended June 30, 2025, we issued 30,000 shares of restricted stock as well as 3,341 shares of common stock pursuant to vesting RSUs.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Warrants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2020, we issued warrants for the purchase of 1,250 shares of common stock at an exercise price of $115 per share, exercisable on the date of grant; these warrants expired unexercised on April 30,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7 — Litigation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subject to various legal proceedings, the outcomes of which are inherently uncertain. We record any potential gains related to legal proceedings only after cash is collected. We record a liability when it is probable that a loss has been incurred and the amount is reasonably estimable, the determination of which requires significant judgment. As additional information becomes available, we reassess our potential liability and may revise our estimates. Such resolutions could have a material impact on future quarterly or annual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One or more potential intellectual property infringement claims may also be available to us against certain other companies who have the resources to defend against any such claims. Although we believe these potential claims are likely valid, commencing a lawsuit can be expensive and time-consuming, and there is no assurance that we could prevail on such potential claims if we made them.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8 — 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lease office space in Nevada. The operating lease requires monthly payments of $5 and expires in October 2027. At June 30, 2026, our ROU asset and lease liability totaled $69. Lease expense totaled $16 and $14, for the three months ended June 30, 2026 and 2025, respectively. Lease expense totaled $33 and $28, for the six months ended June 30, 2026 and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lease a facility in Utah used for technical integration and training. This operating lease requires monthly payments of $77, includes periodic increases, as well as, various pass-thru expenses, and expires in April 2029. At June 30, 2026, our ROU asset totaled $2,076 and lease liability totaled $2,440. Lease expense totaled $211 and $210 for the three months ended June 30, 2026 and 2025, respectively. Lease expense totaled $419 for both six month periods ended June 30, 2026 and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lease a facility in California for corporate promotional and marketing through 2035. In March 2024, we renewed the lease for another 10 years recording an ROU asset and lease liability of $5,512. The lease offered two payment options: either a single payment of $6,000 or annual payments each March for a total commitment of approximately $7,500. Initially, we selected the single payment option; on January 13, 2025, we changed to the annual payment option, adjusting our ROU asset and lease liability approximately $600 for the modification. At June 30, 2026, our ROU asset totaled $4,573 and our lease liability totaled $4,604. Lease expense totaled $181 for both three month periods ended June 30, 2026 and 2025, respectively. Lease expense totaled $363 and $357 for the six months ended June 30, 2026 and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Payments due under the above leases as of June 30, 2026, are as follows:</w:t>
      </w:r>
    </w:p>
    <w:p>
      <w:pPr>
        <w:pStyle w:val="Normal"/>
        <w:bidi w:val="0"/>
        <w:spacing w:before="0" w:after="0"/>
        <w:jc w:val="left"/>
        <w:rPr>
          <w:sz w:val="4"/>
          <w:szCs w:val="4"/>
        </w:rPr>
      </w:pPr>
      <w:r>
        <w:rPr>
          <w:sz w:val="4"/>
          <w:szCs w:val="4"/>
        </w:rPr>
      </w:r>
      <w:bookmarkStart w:id="39" w:name="za4791eacffc84c8e8454b2d82420600c"/>
      <w:bookmarkStart w:id="40" w:name="za4791eacffc84c8e8454b2d82420600c"/>
      <w:bookmarkEnd w:id="40"/>
    </w:p>
    <w:tbl>
      <w:tblPr>
        <w:tblW w:w="3125" w:type="dxa"/>
        <w:jc w:val="left"/>
        <w:tblInd w:w="0" w:type="dxa"/>
        <w:tblLayout w:type="fixed"/>
        <w:tblCellMar>
          <w:top w:w="0" w:type="dxa"/>
          <w:left w:w="0" w:type="dxa"/>
          <w:bottom w:w="0" w:type="dxa"/>
          <w:right w:w="0" w:type="dxa"/>
        </w:tblCellMar>
      </w:tblPr>
      <w:tblGrid>
        <w:gridCol w:w="2045"/>
        <w:gridCol w:w="90"/>
        <w:gridCol w:w="170"/>
        <w:gridCol w:w="665"/>
        <w:gridCol w:w="155"/>
      </w:tblGrid>
      <w:tr>
        <w:trPr/>
        <w:tc>
          <w:tcPr>
            <w:tcW w:w="2045" w:type="dxa"/>
            <w:tcBorders/>
            <w:shd w:fill="CCEEFF" w:val="clear"/>
            <w:vAlign w:val="bottom"/>
          </w:tcPr>
          <w:p>
            <w:pPr>
              <w:pStyle w:val="TableContents"/>
              <w:bidi w:val="0"/>
              <w:spacing w:before="0" w:after="0"/>
              <w:ind w:left="144" w:right="0" w:hanging="144"/>
              <w:jc w:val="left"/>
              <w:rPr>
                <w:color w:val="000000"/>
              </w:rPr>
            </w:pPr>
            <w:r>
              <w:rPr>
                <w:color w:val="000000"/>
              </w:rPr>
              <w:t>Due in 2026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494</w:t>
            </w:r>
          </w:p>
        </w:tc>
        <w:tc>
          <w:tcPr>
            <w:tcW w:w="15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color w:val="000000"/>
              </w:rPr>
            </w:pPr>
            <w:r>
              <w:rPr>
                <w:color w:val="000000"/>
              </w:rPr>
              <w:t>Due in 2027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1,662</w:t>
            </w:r>
          </w:p>
        </w:tc>
        <w:tc>
          <w:tcPr>
            <w:tcW w:w="15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color w:val="000000"/>
              </w:rPr>
            </w:pPr>
            <w:r>
              <w:rPr>
                <w:color w:val="000000"/>
              </w:rPr>
              <w:t>Due in 2028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1,678</w:t>
            </w:r>
          </w:p>
        </w:tc>
        <w:tc>
          <w:tcPr>
            <w:tcW w:w="15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color w:val="000000"/>
              </w:rPr>
            </w:pPr>
            <w:r>
              <w:rPr>
                <w:color w:val="000000"/>
              </w:rPr>
              <w:t>Due in 2029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1,065</w:t>
            </w:r>
          </w:p>
        </w:tc>
        <w:tc>
          <w:tcPr>
            <w:tcW w:w="15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color w:val="000000"/>
              </w:rPr>
            </w:pPr>
            <w:r>
              <w:rPr>
                <w:color w:val="000000"/>
              </w:rPr>
              <w:t>Due in 2030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766</w:t>
            </w:r>
          </w:p>
        </w:tc>
        <w:tc>
          <w:tcPr>
            <w:tcW w:w="15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color w:val="000000"/>
              </w:rPr>
            </w:pPr>
            <w:r>
              <w:rPr>
                <w:color w:val="000000"/>
              </w:rPr>
              <w:t>Thereafter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3,465</w:t>
            </w:r>
          </w:p>
        </w:tc>
        <w:tc>
          <w:tcPr>
            <w:tcW w:w="15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9,130</w:t>
            </w:r>
          </w:p>
        </w:tc>
        <w:tc>
          <w:tcPr>
            <w:tcW w:w="15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color w:val="000000"/>
              </w:rPr>
            </w:pPr>
            <w:r>
              <w:rPr>
                <w:color w:val="000000"/>
              </w:rPr>
              <w:t>Less imputed interest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(2,017</w:t>
            </w:r>
          </w:p>
        </w:tc>
        <w:tc>
          <w:tcPr>
            <w:tcW w:w="155" w:type="dxa"/>
            <w:tcBorders/>
            <w:vAlign w:val="bottom"/>
          </w:tcPr>
          <w:p>
            <w:pPr>
              <w:pStyle w:val="TableContents"/>
              <w:bidi w:val="0"/>
              <w:spacing w:before="0" w:after="0"/>
              <w:jc w:val="left"/>
              <w:rPr>
                <w:color w:val="000000"/>
              </w:rPr>
            </w:pPr>
            <w:r>
              <w:rPr>
                <w:color w:val="000000"/>
              </w:rPr>
              <w:t>)</w:t>
            </w:r>
          </w:p>
        </w:tc>
      </w:tr>
      <w:tr>
        <w:trPr/>
        <w:tc>
          <w:tcPr>
            <w:tcW w:w="2045" w:type="dxa"/>
            <w:tcBorders/>
            <w:shd w:fill="CCEEFF" w:val="clear"/>
            <w:vAlign w:val="bottom"/>
          </w:tcPr>
          <w:p>
            <w:pPr>
              <w:pStyle w:val="TableContents"/>
              <w:bidi w:val="0"/>
              <w:spacing w:before="0" w:after="0"/>
              <w:ind w:left="144" w:right="0" w:hanging="144"/>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7,113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service agreement for the use of an aircraft from a related party discussed in more detail in Note 4. We incurred approximately $566 and $1,126 for the three and six months ended June 30, 2026 compared to $380 and $756 for the three and six months ended June 30,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9 —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Basic earnings per share are based on the weighted average number of common shares outstanding for the period. Diluted earnings per share are based on the weighted average number of common shares and potentially dilutive common shares outstanding. Unvested restricted shares (414,636 as of June 30, 2026 and 608,954 as of June 30, 2025) are excluded from weighted average shares outstanding. Potential common shares outstanding principally include stock options excluding any convertible at a price higher than the closing price of our stock at the end of each reporting period. The following table shows the computation of basic and diluted earnings per share for the three months ended June 30, 2026 and 2025 (in thousands, except per share amounts):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cf9316ee8381470e9bfa8d0b01a2a508"/>
      <w:bookmarkStart w:id="42" w:name="zcf9316ee8381470e9bfa8d0b01a2a508"/>
      <w:bookmarkEnd w:id="42"/>
    </w:p>
    <w:tbl>
      <w:tblPr>
        <w:tblW w:w="8749" w:type="dxa"/>
        <w:jc w:val="left"/>
        <w:tblInd w:w="0" w:type="dxa"/>
        <w:tblLayout w:type="fixed"/>
        <w:tblCellMar>
          <w:top w:w="0" w:type="dxa"/>
          <w:left w:w="0" w:type="dxa"/>
          <w:bottom w:w="0" w:type="dxa"/>
          <w:right w:w="0" w:type="dxa"/>
        </w:tblCellMar>
      </w:tblPr>
      <w:tblGrid>
        <w:gridCol w:w="4115"/>
        <w:gridCol w:w="90"/>
        <w:gridCol w:w="202"/>
        <w:gridCol w:w="790"/>
        <w:gridCol w:w="148"/>
        <w:gridCol w:w="106"/>
        <w:gridCol w:w="202"/>
        <w:gridCol w:w="790"/>
        <w:gridCol w:w="125"/>
        <w:gridCol w:w="90"/>
        <w:gridCol w:w="174"/>
        <w:gridCol w:w="684"/>
        <w:gridCol w:w="128"/>
        <w:gridCol w:w="92"/>
        <w:gridCol w:w="174"/>
        <w:gridCol w:w="684"/>
        <w:gridCol w:w="155"/>
      </w:tblGrid>
      <w:tr>
        <w:trPr/>
        <w:tc>
          <w:tcPr>
            <w:tcW w:w="41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6" w:type="dxa"/>
            <w:gridSpan w:val="6"/>
            <w:tcBorders/>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5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098"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25"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86"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95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44" w:right="0" w:hanging="144"/>
              <w:jc w:val="left"/>
              <w:rPr>
                <w:color w:val="000000"/>
              </w:rPr>
            </w:pPr>
            <w:r>
              <w:rPr>
                <w:color w:val="000000"/>
              </w:rPr>
              <w:t>Numerator:</w:t>
            </w:r>
          </w:p>
        </w:tc>
        <w:tc>
          <w:tcPr>
            <w:tcW w:w="90"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58" w:type="dxa"/>
            <w:gridSpan w:val="2"/>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5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44" w:right="0" w:hanging="144"/>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(4,527</w:t>
            </w:r>
          </w:p>
        </w:tc>
        <w:tc>
          <w:tcPr>
            <w:tcW w:w="148" w:type="dxa"/>
            <w:tcBorders/>
            <w:shd w:fill="CCEEFF" w:val="clear"/>
            <w:vAlign w:val="bottom"/>
          </w:tcPr>
          <w:p>
            <w:pPr>
              <w:pStyle w:val="TableContents"/>
              <w:bidi w:val="0"/>
              <w:spacing w:before="0" w:after="0"/>
              <w:jc w:val="lef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(3,621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684" w:type="dxa"/>
            <w:tcBorders/>
            <w:shd w:fill="CCEEFF" w:val="clear"/>
            <w:vAlign w:val="bottom"/>
          </w:tcPr>
          <w:p>
            <w:pPr>
              <w:pStyle w:val="TableContents"/>
              <w:bidi w:val="0"/>
              <w:spacing w:before="0" w:after="0"/>
              <w:jc w:val="right"/>
              <w:rPr>
                <w:color w:val="000000"/>
              </w:rPr>
            </w:pPr>
            <w:r>
              <w:rPr>
                <w:color w:val="000000"/>
              </w:rPr>
              <w:t>(8,881</w:t>
            </w:r>
          </w:p>
        </w:tc>
        <w:tc>
          <w:tcPr>
            <w:tcW w:w="128" w:type="dxa"/>
            <w:tcBorders/>
            <w:shd w:fill="CCEEFF" w:val="clear"/>
            <w:vAlign w:val="bottom"/>
          </w:tcPr>
          <w:p>
            <w:pPr>
              <w:pStyle w:val="TableContents"/>
              <w:bidi w:val="0"/>
              <w:spacing w:before="0" w:after="0"/>
              <w:jc w:val="left"/>
              <w:rPr>
                <w:color w:val="000000"/>
              </w:rPr>
            </w:pPr>
            <w:r>
              <w:rPr>
                <w:color w:val="000000"/>
              </w:rPr>
              <w:t>)</w:t>
            </w:r>
          </w:p>
        </w:tc>
        <w:tc>
          <w:tcPr>
            <w:tcW w:w="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684" w:type="dxa"/>
            <w:tcBorders/>
            <w:shd w:fill="CCEEFF" w:val="clear"/>
            <w:vAlign w:val="bottom"/>
          </w:tcPr>
          <w:p>
            <w:pPr>
              <w:pStyle w:val="TableContents"/>
              <w:bidi w:val="0"/>
              <w:spacing w:before="0" w:after="0"/>
              <w:jc w:val="right"/>
              <w:rPr>
                <w:color w:val="000000"/>
              </w:rPr>
            </w:pPr>
            <w:r>
              <w:rPr>
                <w:color w:val="000000"/>
              </w:rPr>
              <w:t>(7,300</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115" w:type="dxa"/>
            <w:tcBorders/>
            <w:vAlign w:val="bottom"/>
          </w:tcPr>
          <w:p>
            <w:pPr>
              <w:pStyle w:val="TableContents"/>
              <w:bidi w:val="0"/>
              <w:spacing w:before="0" w:after="0"/>
              <w:ind w:left="144" w:right="0" w:hanging="144"/>
              <w:jc w:val="left"/>
              <w:rPr>
                <w:color w:val="000000"/>
              </w:rPr>
            </w:pPr>
            <w:r>
              <w:rPr>
                <w:color w:val="000000"/>
              </w:rPr>
              <w:t>Denominator:</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44" w:right="0" w:hanging="144"/>
              <w:jc w:val="left"/>
              <w:rPr>
                <w:color w:val="000000"/>
              </w:rPr>
            </w:pPr>
            <w:r>
              <w:rPr>
                <w:color w:val="000000"/>
              </w:rPr>
              <w:t>Weighted-average basic shares outstanding</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3,770</w:t>
            </w:r>
          </w:p>
        </w:tc>
        <w:tc>
          <w:tcPr>
            <w:tcW w:w="14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3,660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3,762</w:t>
            </w:r>
          </w:p>
        </w:tc>
        <w:tc>
          <w:tcPr>
            <w:tcW w:w="1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3,660</w:t>
            </w:r>
          </w:p>
        </w:tc>
        <w:tc>
          <w:tcPr>
            <w:tcW w:w="15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44" w:right="0" w:hanging="144"/>
              <w:jc w:val="left"/>
              <w:rPr>
                <w:color w:val="000000"/>
              </w:rPr>
            </w:pPr>
            <w:r>
              <w:rPr>
                <w:color w:val="000000"/>
              </w:rPr>
              <w:t>Effect of dilutive securities</w:t>
            </w:r>
          </w:p>
        </w:tc>
        <w:tc>
          <w:tcPr>
            <w:tcW w:w="9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5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44" w:right="0" w:hanging="144"/>
              <w:jc w:val="left"/>
              <w:rPr>
                <w:color w:val="000000"/>
              </w:rPr>
            </w:pPr>
            <w:r>
              <w:rPr>
                <w:color w:val="000000"/>
              </w:rPr>
              <w:t>Weighted-average diluted shares</w:t>
            </w:r>
          </w:p>
        </w:tc>
        <w:tc>
          <w:tcPr>
            <w:tcW w:w="9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3,770</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3,660</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3,762</w:t>
            </w:r>
          </w:p>
        </w:tc>
        <w:tc>
          <w:tcPr>
            <w:tcW w:w="12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3,660</w:t>
            </w:r>
          </w:p>
        </w:tc>
        <w:tc>
          <w:tcPr>
            <w:tcW w:w="15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44" w:right="0" w:hanging="144"/>
              <w:jc w:val="left"/>
              <w:rPr>
                <w:color w:val="000000"/>
              </w:rPr>
            </w:pPr>
            <w:r>
              <w:rPr>
                <w:color w:val="000000"/>
              </w:rPr>
              <w:t>Basic (loss) per share</w:t>
            </w:r>
          </w:p>
        </w:tc>
        <w:tc>
          <w:tcPr>
            <w:tcW w:w="9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(1.20</w:t>
            </w:r>
          </w:p>
        </w:tc>
        <w:tc>
          <w:tcPr>
            <w:tcW w:w="14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6" w:type="dxa"/>
            <w:tcBorders>
              <w:bottom w:val="double" w:sz="8" w:space="0" w:color="000000"/>
            </w:tcBorders>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(0.99</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(2.36</w:t>
            </w:r>
          </w:p>
        </w:tc>
        <w:tc>
          <w:tcPr>
            <w:tcW w:w="1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2" w:type="dxa"/>
            <w:tcBorders>
              <w:bottom w:val="double" w:sz="8" w:space="0" w:color="000000"/>
            </w:tcBorders>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(1.99</w:t>
            </w:r>
          </w:p>
        </w:tc>
        <w:tc>
          <w:tcPr>
            <w:tcW w:w="155" w:type="dxa"/>
            <w:tcBorders/>
            <w:vAlign w:val="bottom"/>
          </w:tcPr>
          <w:p>
            <w:pPr>
              <w:pStyle w:val="TableContents"/>
              <w:bidi w:val="0"/>
              <w:spacing w:before="0" w:after="0"/>
              <w:jc w:val="left"/>
              <w:rPr>
                <w:color w:val="000000"/>
              </w:rPr>
            </w:pPr>
            <w:r>
              <w:rPr>
                <w:color w:val="000000"/>
              </w:rPr>
              <w:t>)</w:t>
            </w:r>
          </w:p>
        </w:tc>
      </w:tr>
      <w:tr>
        <w:trPr/>
        <w:tc>
          <w:tcPr>
            <w:tcW w:w="4115" w:type="dxa"/>
            <w:tcBorders/>
            <w:shd w:fill="CCEEFF" w:val="clear"/>
            <w:vAlign w:val="bottom"/>
          </w:tcPr>
          <w:p>
            <w:pPr>
              <w:pStyle w:val="TableContents"/>
              <w:bidi w:val="0"/>
              <w:spacing w:before="0" w:after="0"/>
              <w:ind w:left="144" w:right="0" w:hanging="144"/>
              <w:jc w:val="left"/>
              <w:rPr>
                <w:color w:val="000000"/>
              </w:rPr>
            </w:pPr>
            <w:r>
              <w:rPr>
                <w:color w:val="000000"/>
              </w:rPr>
              <w:t>Diluted (loss) per share</w:t>
            </w:r>
          </w:p>
        </w:tc>
        <w:tc>
          <w:tcPr>
            <w:tcW w:w="9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(1.20</w:t>
            </w:r>
          </w:p>
        </w:tc>
        <w:tc>
          <w:tcPr>
            <w:tcW w:w="1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(0.99</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(2.36</w:t>
            </w:r>
          </w:p>
        </w:tc>
        <w:tc>
          <w:tcPr>
            <w:tcW w:w="12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(1.99</w:t>
            </w:r>
          </w:p>
        </w:tc>
        <w:tc>
          <w:tcPr>
            <w:tcW w:w="15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incurred a net loss for the three and six months ended June 30, 2026 and 2025; therefore, all potentially dilutive securities representing shares of common stock (218,337 at June 30, 2026 and 248,488 at June 30, 2025) were excluded from the computation of diluted earnings per share, because their effect would have been antidilutive.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10 — Segment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view our operations and make decisions regarding how to allocate resources and manage our business as one reportable segment and one reporting unit. Our Chief Executive Officer, who is the chief operating decision maker (CODM), is regularly provided with expense information at a level consistent with that disclosed in our condensed consolidated financial statements, regularly assesses performance of the aggregated single operating and reporting segment and decides how to allocate resources based on net income calculated on the same basis as net income reported in our condensed consolidated financial statements.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ITEM 2 </w:t>
      </w:r>
      <w:bookmarkStart w:id="43" w:name="ITEM2"/>
      <w:bookmarkEnd w:id="43"/>
      <w:r>
        <w:rPr>
          <w:rFonts w:ascii="Times New Roman" w:hAnsi="Times New Roman"/>
          <w:b/>
          <w:color w:val="000000"/>
          <w:sz w:val="20"/>
          <w:shd w:fill="FFFFFF" w:val="clear"/>
        </w:rPr>
        <w:t>— MANAGEMENT’S DISCUSSION AND ANALYSIS OF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Company 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VirnetX Holding Corporation (“Company”, “we”, “us”, or “our”) is an Internet security software and technology company with patented cybersecurity solutions that are designed to ensure resilient, secure communications across any network or device.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flagship platform, VirnetX One™, is built on Zero Trust Network Access (ZTNA) principles and extends our patented Secure Domain Name System (SDNS) technology to establish end-to-end encrypted communications on demand, regardless of user location or endpoint. VirnetX One™ operates as a security-as-a-service platform and may be deployed in cloud, on-premises, or hybrid enterprise environments. The platform is designed to protect applications, services, and infrastructure by providing an additional security layer that integrates with existing systems to reduce exposure to evolving cyber threats affecting data, operating systems, infrastructure components, and gateway security controllers.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VirnetX Matrix™ leverages the VirnetX One™ platform to secure communications using encrypted, identity-based access controls, including in contested or high-risk environments. It is designed to protect internet-enabled enterprise applications, connected devices, and control systems, such as file servers, data backup systems, and VPN or firewall environments. VirnetX Matrix™ is intended to be deployed without requiring material changes to an enterprise’s existing infrastructure and provides centralized visibility and policy enforcement to address unauthorized access and evolving attack techniques.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VirnetX War Room™ is also built on the VirnetX One™ platform, provides secure collaboration and visualization capabilities designed to support sensitive, unclassified but secure communications. The platform enables controlled access to virtual meeting environments by validating user and device permissions prior to granting access. VirnetX War Room™ is intended for use cases where confidentiality and access control are critical, including government, law enforcement, legal, financial, and healthcare environments.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products, including VirnetX One™, VirnetX Matrix™, and VirnetX War Room™, are designed to support U.S. Department of Defense (DoD), federal government, and commercial customers requiring real-time encrypted communications and network security. Our solutions are designed to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VirnetX iSCOUT (IoT System for Connected Object Understanding and Telemetry) leverages a common, secure IoT and data infrastructure to fuse sensor, geospatial, and agency data into a unified operating picture, including in disaster response and smart city environments. It is designed to support mission-specific applications that can be customized for a range of markets, with two initial implementations currently in development: a Humanitarian Assistance Disaster Relief–Emergency Response (HADR-ER) capability that provides federal, state, and local partners with a real-time operating picture for national emergency management, and a smart city solution for international markets, including Japan, tailored to urban resilience, mobility, and critical infrastructure monitoring in dense metropolitan environments. VirnetX iSCOUT is intended to be deployed as a shared, exportable technology stack, with each application configured for its distinct mission, and we may pursue additional customized applications for other markets in the future.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support international sales of our commercial products in compliance with applicable U.S. export control laws and regulations, including the International Traffic in Arms Regulations (ITAR) and the Export Administration Regulations (EAR). Our compliance processes are designed to ensure that international transactions adhere to export control requirements while supporting authorized global customers.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technology focuses on system design and evaluation to address the continued growth of Internet of Things (IoT) and edge computing environments. We are developing a federated, hybrid mesh network architecture designed with security as a foundational element, extending secure networking capabilities to resource-constrained devices through obfuscated and lightweight security mechanisms designed to protect communications without exposing underlying security processes. These efforts support secure identity, trust enforcement, and encrypted communications for distributed and edge-based systems, aligning our architecture with the industry’s shift toward decentralized and resilient network models. This approach incorporates dynamic trust evaluation, autonomous recovery, and distributed decision-making to enhance network resilience and adaptability.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of our services are designed to align with the Department of Defense’s Digital Engineering Strategy (DE) by supporting cybersecurity integration across system design, command and control, battle management, and sensor orchestration, and by enhancing our MBSE and cyber threat assessment capabilities. Our Dynamic Trust Evaluation (DTE) methods are designed to enforce trust policies throughout system lifecycles, and our cyber threat intelligence and assessment services provide structured analysis of cyber risks and vulnerabilities.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intend to make available our digital engineering, cyber MBSE, and cyber threat intelligence services to federal, state, and local government agencies, subject to applicable contracting requirements. We hold a Multiple Award Schedule (MAS) and obtained DoD Joint Certification Program (DD Form 2345) certifications for our facilities in Zephyr Cove, Nevada, and Farmington, Utah, which permit access to certain unclassified technical data subject to export controls.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we are developing a Center for Advanced Software and Hardware Integration at our Farmington, Utah facility, that incorporates artificial intelligence (AI) and digital twin technologies alongside our Software-Defined Networks (SDN) capabilities. This facility is intended to support development and integration of secure, adaptive software solutions. We have entered into strategic relationships, including an investment in L2 Holdings, LLC (OmniTeq), an AI/Machine Learning (ML) solutions provider, and cooperative agreements, including a Cooperative Research and Development Agreement (CRADA) with the Air Force Research Laboratory, Intelligence Systems Directorate (AFRL/RI). The CRADA focuses on cybersecurity and Zero Trust Network Access (ZTNA)-related technologies, extends through 2030, and supports collaboration in areas relevant to defense and intelligence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federal, state, and local government agencies and defense customers, we pursue sales opportunities nationwide and engage with universities and academic institutions to support research collaboration, workforce development, and technology transition initiatives. We also support international sales of our commercial products in compliance with applicable U.S. export control laws and regulations, including the International Traffic in Arms Regulations (ITAR) and the Export Administration Regulations (EAR). Our compliance processes are designed to ensure that international transactions adhere to export control requirements while supporting authorized global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intellectual property portfolio is a core component of our business. We own U.S. and foreign patents, as well as pending patent applications, that are primarily directed to securing real-time communications over the Internet and related services. These patents underpin our technology and products. Certain portions of this portfolio were acquired by our principal operating subsidiary, VirnetX, Inc., from Leidos, Inc. in 2006.</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employees include the core development team behind our inventions, technology, and software. Some members of this team have worked together for over twenty years and were on the same team that invented and developed this technology while working at Leidos, Inc. The team has continued its research and development work to refine our unique network security technology and make it more secure and easy to deploy.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Three and Six Months Ended June 30,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Compared with the Three and Six Months Ended June 30, 2025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per share amounts)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recognized revenue $48 in the three months and six months ended June 30, 2025 and no revenue during the same periods in 2026.</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research and development expenses decreased slightly in 2026 compared to 2025, totaling $1,126 and $1,215 for the three months ended June 30, 2026 and 2025, and totaling $2,288 and $2,474 for the six months ended June 30, 2026 and 2025. The decrease was related to compensation.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pPr>
      <w:r>
        <w:rPr/>
      </w:r>
    </w:p>
    <w:p>
      <w:pPr>
        <w:pStyle w:val="TextBody"/>
        <w:bidi w:val="0"/>
        <w:spacing w:before="0" w:after="0"/>
        <w:ind w:left="0" w:right="270" w:hanging="0"/>
        <w:jc w:val="both"/>
        <w:rPr>
          <w:rFonts w:ascii="Times New Roman" w:hAnsi="Times New Roman"/>
          <w:color w:val="000000"/>
          <w:sz w:val="20"/>
          <w:shd w:fill="FFFFFF" w:val="clear"/>
        </w:rPr>
      </w:pPr>
      <w:r>
        <w:rPr>
          <w:rFonts w:ascii="Times New Roman" w:hAnsi="Times New Roman"/>
          <w:color w:val="000000"/>
          <w:sz w:val="20"/>
          <w:shd w:fill="FFFFFF" w:val="clear"/>
        </w:rPr>
        <w:t>Our selling, general and administrative expenses increased $749 and $1,308 in the three and six months ended June 30, 2026 compared to 2025. The variance was primarily related to increases of $388 in legal expenses, $362 in equity compensation, and $395 in travel expense.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 and Capital Resources</w:t>
      </w:r>
    </w:p>
    <w:p>
      <w:pPr>
        <w:pStyle w:val="TextBody"/>
        <w:bidi w:val="0"/>
        <w:spacing w:before="0" w:after="0"/>
        <w:jc w:val="left"/>
        <w:rPr/>
      </w:pPr>
      <w:r>
        <w:rPr/>
      </w:r>
    </w:p>
    <w:p>
      <w:pPr>
        <w:pStyle w:val="TextBody"/>
        <w:bidi w:val="0"/>
        <w:spacing w:before="0" w:after="0"/>
        <w:ind w:left="0" w:right="265" w:hanging="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our cash and cash equivalents totaled approximately $13,090 and our short-term investments totaled approximately $799, compared to cash and cash equivalents of approximately $15,548 and short-term investments of approximately $5,979 at December 31, 2025, respectively. Working capital was $11,847 at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 Company’s current rate of operating expenditures and without giving effect to any future financing or additional revenue, existing liquid resources are projected to be insufficient to sustain the current level of operations for twelve months from the date of issuance of these financial statements. This condition triggers the going concern disclosure requirements under U.S. GAAP and as required, is described in notes to our condensed consolidated financial statements. Management intends to continue pursuit of cash generation via revenue sources and financing.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2, 2026, the SEC declared our shelf registration statement of Form S-3 effective (File No. 333-295960). The S-3 covers the offer and sale up to $20 million in securities in one or more offerings, in amounts, at prices and on terms determined at the time of the offering.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effective tax rate is 0% for income tax for the three and six months ended June 30, 2026 and 2025, and we expect our effective tax rate for the full year will be 0%. Our effective tax rate is less than the 21% statutory tax rate primarily due to our valuation allowance. Based on the weight of available evidence, including net cumulative losses and expected future losses, we have determined it is more likely than not that our U.S. federal and state deferred tax assets will not be realized and therefore we have provided a full valuation allowance on the U.S. federal and state net deferred tax assets.</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r>
        <w:rPr>
          <w:rFonts w:ascii="Times New Roman" w:hAnsi="Times New Roman"/>
          <w:b/>
          <w:color w:val="000000"/>
          <w:sz w:val="20"/>
          <w:shd w:fill="FFFFFF" w:val="clear"/>
        </w:rPr>
        <w:t>Contractual Obligations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leases in Nevada, Utah and California, the last of which expires in 2035. See Note 8 – Leases in the accompanying condensed consolidated financial statements for details.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Off-Balance Sheet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ITEM 3 </w:t>
      </w:r>
      <w:bookmarkStart w:id="44" w:name="ITEM3"/>
      <w:bookmarkEnd w:id="44"/>
      <w:r>
        <w:rPr>
          <w:rFonts w:ascii="Times New Roman" w:hAnsi="Times New Roman"/>
          <w:b/>
          <w:color w:val="000000"/>
          <w:sz w:val="20"/>
          <w:shd w:fill="FFFFFF" w:val="clear"/>
        </w:rPr>
        <w:t>— QUANTITATIVE AND QUALITATIVE DISCLOSURES ABOUT MARKET RISK.</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invest our excess cash primarily in highly liquid instruments including time deposits, money market funds, and U.S. agency and treasury securities. We seek to limit the amount of our credit exposure to any one issuer.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Investments in fixed rate instruments carry a degree of interest rate risk. Fixed rate securities may have their fair market value adversely impacted due to a rise in interest rates. Due in part to these factors, our income from investments may decrease in the future.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considered the historical volatility of short-term interest rates and determined that it was reasonably possible that an adverse change of 100 basis points could be experienced in the near term but would have an immaterial impact on the fair value of our marketable securities, which generally mature within twelve months of June 30, 2026.</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Other Market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considered the historical volatility of our stock price and determined that it was reasonably possible that the fair market value of our stock price could increase or decrease substantially in the near term and could have a material impact on our condensed consolidated balance sheets and statement of operations with respect to future stock-based compensation costs and other equity transactions.</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ITEM 4</w:t>
      </w:r>
      <w:bookmarkStart w:id="45" w:name="ITEM4"/>
      <w:bookmarkEnd w:id="45"/>
      <w:r>
        <w:rPr>
          <w:rFonts w:ascii="Times New Roman" w:hAnsi="Times New Roman"/>
          <w:b/>
          <w:color w:val="000000"/>
          <w:sz w:val="20"/>
          <w:shd w:fill="FFFFFF" w:val="clear"/>
        </w:rPr>
        <w:t xml:space="preserve"> —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as of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purpose of this evaluation was to determine whether as of June 30, 2026 our disclosure controls and procedures were effective to provide reasonable assurance that the information we are required to disclose in our filings with the SEC, (i) is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their evaluation, our Chief Executive Officer and Chief Financial Officer have concluded that as of June 30, 2026, our disclosure controls and procedures were effective.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ind w:left="2"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2" w:right="2" w:hanging="0"/>
        <w:jc w:val="left"/>
        <w:rPr/>
      </w:pPr>
      <w:r>
        <w:rPr/>
      </w:r>
    </w:p>
    <w:p>
      <w:pPr>
        <w:pStyle w:val="TextBody"/>
        <w:bidi w:val="0"/>
        <w:spacing w:before="0" w:after="0"/>
        <w:ind w:left="2" w:right="2" w:hanging="0"/>
        <w:jc w:val="left"/>
        <w:rPr>
          <w:rFonts w:ascii="Times New Roman" w:hAnsi="Times New Roman"/>
          <w:b/>
          <w:color w:val="000000"/>
          <w:sz w:val="20"/>
          <w:shd w:fill="FFFFFF" w:val="clear"/>
        </w:rPr>
      </w:pPr>
      <w:r>
        <w:rPr>
          <w:rFonts w:ascii="Times New Roman" w:hAnsi="Times New Roman"/>
          <w:b/>
          <w:color w:val="000000"/>
          <w:sz w:val="20"/>
          <w:shd w:fill="FFFFFF" w:val="clear"/>
        </w:rPr>
        <w:t>PART II — OTHER INFORMATION</w:t>
      </w:r>
      <w:bookmarkStart w:id="46" w:name="OTHERINFORMATION"/>
      <w:bookmarkEnd w:id="46"/>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ITEM 1 — LEGAL PROCEEDINGS</w:t>
      </w:r>
      <w:bookmarkStart w:id="47" w:name="LEGALPROCEEDINGS"/>
      <w:bookmarkEnd w:id="47"/>
      <w:r>
        <w:rPr>
          <w:rFonts w:ascii="Times New Roman" w:hAnsi="Times New Roman"/>
          <w:b/>
          <w:color w:val="000000"/>
          <w:sz w:val="20"/>
          <w:shd w:fill="FFFFFF" w:val="clear"/>
        </w:rPr>
        <w:t xml:space="preserve"> – (See Note 7 — Litigation in the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ITEM 1A — RISK FACTORS</w:t>
      </w:r>
      <w:bookmarkStart w:id="48" w:name="RISKFACTORS"/>
      <w:bookmarkEnd w:id="48"/>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operations and financial results are subject to various risks and uncertainties, including those described below, which could adversely affect our business, financial condition, results of operations, cash flows, and the trading price of our common and capital stock. You should carefully consider the risks and uncertainties described below in addition to the other information set forth in this Report, including in “Management’s Discussion and Analysis of Financial Condition and Results of Operations” and our condensed consolidated financial statements and related notes, before making any investment in our common stock. The risks and uncertainties described below are not the only ones we face. Additional risks and uncertainties not presently known to us or that we currently believe to be immaterial may also adversely affect our business. If any of these risk factors occur, you could lose substantial value or your entire investment in our shares.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 and Our Financial Reporting</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financial statements include a going concern disclosure required under U.S.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 Company’s current rate of operating expenditures and without giving effect to any future financing or revenues, existing liquid resources are projected to be insufficient to sustain the current level of operations for twelve months from the date of issuance of these financial statements. Under U.S. GAAP, this condition requires disclosure of substantial doubt about the Company’s ability to continue as a going concern, as set forth in the Notes to our condensed consolidated financial statements. This disclosure reflects the application of prescribed accounting standards and is not intended to imply any change in the Company’s expectations regarding its business, strategy or outlook.</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operating results may not be consistent and may be difficult to predict, and we may not be able to achieve or sustain profitability in the future.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a net loss of $8.9 million for the six months ended June 30, 2026, and a net loss of $18.2 million for the year ended December 31, 2025. As of June 30, 2026, we had an accumulated deficit of $231.8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operating results have fluctuated in the past due to several factors and may fluctuate in the future due to the same or similar factors, which include but are not limited to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c62b5016d1864660a0eb116712ad5bf4"/>
      <w:bookmarkStart w:id="50" w:name="zc62b5016d1864660a0eb116712ad5bf4"/>
      <w:bookmarkEnd w:id="50"/>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Time and resources required to accelerate transition to new product development and sales strategies targeting large enterprises, government customers, service provider partnerships;</w:t>
            </w:r>
          </w:p>
        </w:tc>
      </w:tr>
    </w:tbl>
    <w:p>
      <w:pPr>
        <w:pStyle w:val="Normal"/>
        <w:bidi w:val="0"/>
        <w:spacing w:before="0" w:after="0"/>
        <w:jc w:val="left"/>
        <w:rPr>
          <w:sz w:val="4"/>
          <w:szCs w:val="4"/>
        </w:rPr>
      </w:pPr>
      <w:r>
        <w:rPr>
          <w:sz w:val="4"/>
          <w:szCs w:val="4"/>
        </w:rPr>
      </w:r>
      <w:bookmarkStart w:id="51" w:name="z30ecc3035cb94dbc8abc77dd018df038"/>
      <w:bookmarkStart w:id="52" w:name="z30ecc3035cb94dbc8abc77dd018df038"/>
      <w:bookmarkEnd w:id="52"/>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Customer acceptance of our DE, DTE methods, MBSE and cyber threat intelligence and assessment services;</w:t>
            </w:r>
          </w:p>
        </w:tc>
      </w:tr>
    </w:tbl>
    <w:p>
      <w:pPr>
        <w:pStyle w:val="Normal"/>
        <w:bidi w:val="0"/>
        <w:spacing w:before="0" w:after="0"/>
        <w:jc w:val="left"/>
        <w:rPr>
          <w:sz w:val="4"/>
          <w:szCs w:val="4"/>
        </w:rPr>
      </w:pPr>
      <w:r>
        <w:rPr>
          <w:sz w:val="4"/>
          <w:szCs w:val="4"/>
        </w:rPr>
      </w:r>
      <w:bookmarkStart w:id="53" w:name="zc60053156b4b46049b6d65b5849316af"/>
      <w:bookmarkStart w:id="54" w:name="zc60053156b4b46049b6d65b5849316af"/>
      <w:bookmarkEnd w:id="54"/>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Establishing and maintaining relationships with third parties to integrate our family of cybersecurity products and services into their operations and develop solutions key to the defense market, critical infrastructure, and cyber threat intelligence service;</w:t>
            </w:r>
          </w:p>
        </w:tc>
      </w:tr>
    </w:tbl>
    <w:p>
      <w:pPr>
        <w:pStyle w:val="Normal"/>
        <w:bidi w:val="0"/>
        <w:spacing w:before="0" w:after="0"/>
        <w:jc w:val="left"/>
        <w:rPr>
          <w:sz w:val="4"/>
          <w:szCs w:val="4"/>
        </w:rPr>
      </w:pPr>
      <w:r>
        <w:rPr>
          <w:sz w:val="4"/>
          <w:szCs w:val="4"/>
        </w:rPr>
      </w:r>
      <w:bookmarkStart w:id="55" w:name="z7eb0f60fdd704638862ac92cc7bf3e6c"/>
      <w:bookmarkStart w:id="56" w:name="z7eb0f60fdd704638862ac92cc7bf3e6c"/>
      <w:bookmarkEnd w:id="56"/>
    </w:p>
    <w:tbl>
      <w:tblPr>
        <w:tblW w:w="8500" w:type="dxa"/>
        <w:jc w:val="left"/>
        <w:tblInd w:w="0" w:type="dxa"/>
        <w:tblLayout w:type="fixed"/>
        <w:tblCellMar>
          <w:top w:w="0" w:type="dxa"/>
          <w:left w:w="0" w:type="dxa"/>
          <w:bottom w:w="0" w:type="dxa"/>
          <w:right w:w="0" w:type="dxa"/>
        </w:tblCellMar>
      </w:tblPr>
      <w:tblGrid>
        <w:gridCol w:w="155"/>
        <w:gridCol w:w="8345"/>
      </w:tblGrid>
      <w:tr>
        <w:trPr/>
        <w:tc>
          <w:tcPr>
            <w:tcW w:w="155" w:type="dxa"/>
            <w:tcBorders/>
            <w:vAlign w:val="center"/>
          </w:tcPr>
          <w:p>
            <w:pPr>
              <w:pStyle w:val="TableContents"/>
              <w:bidi w:val="0"/>
              <w:spacing w:before="0" w:after="283"/>
              <w:jc w:val="left"/>
              <w:rPr>
                <w:color w:val="000000"/>
              </w:rPr>
            </w:pPr>
            <w:r>
              <w:rPr>
                <w:color w:val="000000"/>
              </w:rPr>
              <w:t>•</w:t>
            </w:r>
          </w:p>
        </w:tc>
        <w:tc>
          <w:tcPr>
            <w:tcW w:w="8345" w:type="dxa"/>
            <w:tcBorders/>
            <w:vAlign w:val="center"/>
          </w:tcPr>
          <w:p>
            <w:pPr>
              <w:pStyle w:val="TableContents"/>
              <w:bidi w:val="0"/>
              <w:spacing w:before="0" w:after="0"/>
              <w:jc w:val="both"/>
              <w:rPr>
                <w:color w:val="000000"/>
              </w:rPr>
            </w:pPr>
            <w:r>
              <w:rPr>
                <w:color w:val="000000"/>
              </w:rPr>
              <w:t>Customer adoption of our VirnetX One™ platform and software products and services;</w:t>
            </w:r>
          </w:p>
        </w:tc>
      </w:tr>
    </w:tbl>
    <w:p>
      <w:pPr>
        <w:pStyle w:val="Normal"/>
        <w:bidi w:val="0"/>
        <w:spacing w:before="0" w:after="0"/>
        <w:jc w:val="left"/>
        <w:rPr>
          <w:sz w:val="4"/>
          <w:szCs w:val="4"/>
        </w:rPr>
      </w:pPr>
      <w:r>
        <w:rPr>
          <w:sz w:val="4"/>
          <w:szCs w:val="4"/>
        </w:rPr>
      </w:r>
      <w:bookmarkStart w:id="57" w:name="z560f6859eda44ebbbbe8f187e2c0e860"/>
      <w:bookmarkStart w:id="58" w:name="z560f6859eda44ebbbbe8f187e2c0e860"/>
      <w:bookmarkEnd w:id="58"/>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The number of product license sales of VirnetX War Room™, VirnetX Matrix™, VirnetX iSCOUT and associated services;</w:t>
            </w:r>
          </w:p>
        </w:tc>
      </w:tr>
    </w:tbl>
    <w:p>
      <w:pPr>
        <w:pStyle w:val="Normal"/>
        <w:bidi w:val="0"/>
        <w:spacing w:before="0" w:after="0"/>
        <w:jc w:val="left"/>
        <w:rPr>
          <w:sz w:val="4"/>
          <w:szCs w:val="4"/>
        </w:rPr>
      </w:pPr>
      <w:r>
        <w:rPr>
          <w:sz w:val="4"/>
          <w:szCs w:val="4"/>
        </w:rPr>
      </w:r>
      <w:bookmarkStart w:id="59" w:name="z1952ec5877364af490ea89edd0d05b52"/>
      <w:bookmarkStart w:id="60" w:name="z1952ec5877364af490ea89edd0d05b52"/>
      <w:bookmarkEnd w:id="60"/>
    </w:p>
    <w:tbl>
      <w:tblPr>
        <w:tblW w:w="9760" w:type="dxa"/>
        <w:jc w:val="left"/>
        <w:tblInd w:w="0" w:type="dxa"/>
        <w:tblLayout w:type="fixed"/>
        <w:tblCellMar>
          <w:top w:w="0" w:type="dxa"/>
          <w:left w:w="0" w:type="dxa"/>
          <w:bottom w:w="0" w:type="dxa"/>
          <w:right w:w="0" w:type="dxa"/>
        </w:tblCellMar>
      </w:tblPr>
      <w:tblGrid>
        <w:gridCol w:w="155"/>
        <w:gridCol w:w="9605"/>
      </w:tblGrid>
      <w:tr>
        <w:trPr/>
        <w:tc>
          <w:tcPr>
            <w:tcW w:w="155" w:type="dxa"/>
            <w:tcBorders/>
            <w:vAlign w:val="center"/>
          </w:tcPr>
          <w:p>
            <w:pPr>
              <w:pStyle w:val="TableContents"/>
              <w:bidi w:val="0"/>
              <w:spacing w:before="0" w:after="283"/>
              <w:jc w:val="left"/>
              <w:rPr>
                <w:color w:val="000000"/>
              </w:rPr>
            </w:pPr>
            <w:r>
              <w:rPr>
                <w:color w:val="000000"/>
              </w:rPr>
              <w:t>•</w:t>
            </w:r>
          </w:p>
        </w:tc>
        <w:tc>
          <w:tcPr>
            <w:tcW w:w="9605" w:type="dxa"/>
            <w:tcBorders/>
            <w:vAlign w:val="center"/>
          </w:tcPr>
          <w:p>
            <w:pPr>
              <w:pStyle w:val="TableContents"/>
              <w:bidi w:val="0"/>
              <w:spacing w:before="0" w:after="0"/>
              <w:jc w:val="both"/>
              <w:rPr>
                <w:color w:val="000000"/>
              </w:rPr>
            </w:pPr>
            <w:r>
              <w:rPr>
                <w:color w:val="000000"/>
              </w:rPr>
              <w:t>Adoption of VirnetX One™ platform by third party application providers of secure communications;</w:t>
            </w:r>
          </w:p>
        </w:tc>
      </w:tr>
    </w:tbl>
    <w:p>
      <w:pPr>
        <w:pStyle w:val="Normal"/>
        <w:bidi w:val="0"/>
        <w:spacing w:before="0" w:after="0"/>
        <w:jc w:val="left"/>
        <w:rPr>
          <w:sz w:val="4"/>
          <w:szCs w:val="4"/>
        </w:rPr>
      </w:pPr>
      <w:r>
        <w:rPr>
          <w:sz w:val="4"/>
          <w:szCs w:val="4"/>
        </w:rPr>
      </w:r>
      <w:bookmarkStart w:id="61" w:name="z1517d7ad70ce42fbb1861e225748a518"/>
      <w:bookmarkStart w:id="62" w:name="z1517d7ad70ce42fbb1861e225748a518"/>
      <w:bookmarkEnd w:id="62"/>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Intensely competitive market with established companies that have larger customer bases, and greater resources than we do;</w:t>
            </w:r>
          </w:p>
        </w:tc>
      </w:tr>
    </w:tbl>
    <w:p>
      <w:pPr>
        <w:pStyle w:val="Normal"/>
        <w:bidi w:val="0"/>
        <w:spacing w:before="0" w:after="0"/>
        <w:jc w:val="left"/>
        <w:rPr>
          <w:sz w:val="4"/>
          <w:szCs w:val="4"/>
        </w:rPr>
      </w:pPr>
      <w:r>
        <w:rPr>
          <w:sz w:val="4"/>
          <w:szCs w:val="4"/>
        </w:rPr>
      </w:r>
      <w:bookmarkStart w:id="63" w:name="z820e63a8e77c43beba81197e2c5a25e7"/>
      <w:bookmarkStart w:id="64" w:name="z820e63a8e77c43beba81197e2c5a25e7"/>
      <w:bookmarkEnd w:id="64"/>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Prolonged economic uncertainties or downturns, globally or in certain regions or industries, could materially adversely affect our business; and</w:t>
            </w:r>
          </w:p>
        </w:tc>
      </w:tr>
    </w:tbl>
    <w:p>
      <w:pPr>
        <w:pStyle w:val="Normal"/>
        <w:bidi w:val="0"/>
        <w:spacing w:before="0" w:after="0"/>
        <w:jc w:val="left"/>
        <w:rPr>
          <w:sz w:val="4"/>
          <w:szCs w:val="4"/>
        </w:rPr>
      </w:pPr>
      <w:r>
        <w:rPr>
          <w:sz w:val="4"/>
          <w:szCs w:val="4"/>
        </w:rPr>
      </w:r>
      <w:bookmarkStart w:id="65" w:name="new_id"/>
      <w:bookmarkStart w:id="66" w:name="new_id"/>
      <w:bookmarkEnd w:id="66"/>
    </w:p>
    <w:tbl>
      <w:tblPr>
        <w:tblW w:w="10205" w:type="dxa"/>
        <w:jc w:val="left"/>
        <w:tblInd w:w="0" w:type="dxa"/>
        <w:tblLayout w:type="fixed"/>
        <w:tblCellMar>
          <w:top w:w="0" w:type="dxa"/>
          <w:left w:w="0" w:type="dxa"/>
          <w:bottom w:w="0" w:type="dxa"/>
          <w:right w:w="0" w:type="dxa"/>
        </w:tblCellMar>
      </w:tblPr>
      <w:tblGrid>
        <w:gridCol w:w="68"/>
        <w:gridCol w:w="10137"/>
      </w:tblGrid>
      <w:tr>
        <w:trPr/>
        <w:tc>
          <w:tcPr>
            <w:tcW w:w="68" w:type="dxa"/>
            <w:tcBorders/>
            <w:vAlign w:val="center"/>
          </w:tcPr>
          <w:p>
            <w:pPr>
              <w:pStyle w:val="TableContents"/>
              <w:bidi w:val="0"/>
              <w:spacing w:before="0" w:after="283"/>
              <w:jc w:val="left"/>
              <w:rPr/>
            </w:pPr>
            <w:r>
              <w:rPr/>
            </w:r>
          </w:p>
        </w:tc>
        <w:tc>
          <w:tcPr>
            <w:tcW w:w="10137" w:type="dxa"/>
            <w:tcBorders/>
            <w:vAlign w:val="center"/>
          </w:tcPr>
          <w:p>
            <w:pPr>
              <w:pStyle w:val="TableContents"/>
              <w:bidi w:val="0"/>
              <w:spacing w:before="0" w:after="283"/>
              <w:jc w:val="both"/>
              <w:rPr/>
            </w:pPr>
            <w:r>
              <w:rPr/>
              <w:t>Government export and import control regulations on selling products with encryption technology in certain international markets.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fluctuations may make our business particularly difficult to manage, adversely affect our business and operating results, make our operating results difficult for investors to predict and, further, cause our results to fall below investor’s expectations and adversely affect the market price of our common stock. If we fail to increase our revenue, we may not achieve or sustain profitability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success depends in part on establishing and maintaining relationships with third parties to incorporate our products and services into their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strategy is to enter into partnerships, strategic investments, and other cooperative arrangements with other companies and government agencies. We have invested in and we continue to seek to invest in or acquire businesses, technologies, or other assets that we believe could complement or expand our business. In addition, we are regularly involved in cooperative efforts with respect to the incorporation of our products into products of others and vice versa, collaborative research and development efforts with government and university laboratories, distributor and reseller arrangements and service provider partnerships. These relationships are generally non-exclusive, and some of our partners also have cooperative relationships with certain of our competitors or offer some products and services that are competitive with ours. If we lose third-party relationships, if these relationships are not commercially successful, or if we are unable to enter into third-party relationships on commercially reasonable terms in the future, our business could be negatively impacted.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expect that we will experience long and unpredictable sales cycles, which may impact our operating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sales cycle between initial customer contact and the execution of a contract can vary widely. We expect that our sales cycles will be long and unpredictable due to several factors, including but not limited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87812033674545cf86da878cb4dde935"/>
      <w:bookmarkStart w:id="68" w:name="z87812033674545cf86da878cb4dde935"/>
      <w:bookmarkEnd w:id="68"/>
    </w:p>
    <w:tbl>
      <w:tblPr>
        <w:tblW w:w="8065" w:type="dxa"/>
        <w:jc w:val="left"/>
        <w:tblInd w:w="0" w:type="dxa"/>
        <w:tblLayout w:type="fixed"/>
        <w:tblCellMar>
          <w:top w:w="0" w:type="dxa"/>
          <w:left w:w="0" w:type="dxa"/>
          <w:bottom w:w="0" w:type="dxa"/>
          <w:right w:w="0" w:type="dxa"/>
        </w:tblCellMar>
      </w:tblPr>
      <w:tblGrid>
        <w:gridCol w:w="155"/>
        <w:gridCol w:w="7910"/>
      </w:tblGrid>
      <w:tr>
        <w:trPr/>
        <w:tc>
          <w:tcPr>
            <w:tcW w:w="155" w:type="dxa"/>
            <w:tcBorders/>
            <w:vAlign w:val="center"/>
          </w:tcPr>
          <w:p>
            <w:pPr>
              <w:pStyle w:val="TableContents"/>
              <w:bidi w:val="0"/>
              <w:spacing w:before="0" w:after="283"/>
              <w:jc w:val="left"/>
              <w:rPr>
                <w:color w:val="000000"/>
              </w:rPr>
            </w:pPr>
            <w:r>
              <w:rPr>
                <w:color w:val="000000"/>
              </w:rPr>
              <w:t>•</w:t>
            </w:r>
          </w:p>
        </w:tc>
        <w:tc>
          <w:tcPr>
            <w:tcW w:w="7910" w:type="dxa"/>
            <w:tcBorders/>
            <w:vAlign w:val="center"/>
          </w:tcPr>
          <w:p>
            <w:pPr>
              <w:pStyle w:val="TableContents"/>
              <w:bidi w:val="0"/>
              <w:spacing w:before="0" w:after="0"/>
              <w:jc w:val="both"/>
              <w:rPr>
                <w:color w:val="000000"/>
              </w:rPr>
            </w:pPr>
            <w:r>
              <w:rPr>
                <w:color w:val="000000"/>
              </w:rPr>
              <w:t>The need to educate potential customers about our product and service capabilities;</w:t>
            </w:r>
          </w:p>
        </w:tc>
      </w:tr>
    </w:tbl>
    <w:p>
      <w:pPr>
        <w:pStyle w:val="Normal"/>
        <w:bidi w:val="0"/>
        <w:spacing w:before="0" w:after="0"/>
        <w:jc w:val="left"/>
        <w:rPr>
          <w:sz w:val="4"/>
          <w:szCs w:val="4"/>
        </w:rPr>
      </w:pPr>
      <w:r>
        <w:rPr>
          <w:sz w:val="4"/>
          <w:szCs w:val="4"/>
        </w:rPr>
      </w:r>
      <w:bookmarkStart w:id="69" w:name="za7229f775ad446518dbc4d140bcdc6ec"/>
      <w:bookmarkStart w:id="70" w:name="za7229f775ad446518dbc4d140bcdc6ec"/>
      <w:bookmarkEnd w:id="70"/>
    </w:p>
    <w:tbl>
      <w:tblPr>
        <w:tblW w:w="6985" w:type="dxa"/>
        <w:jc w:val="left"/>
        <w:tblInd w:w="0" w:type="dxa"/>
        <w:tblLayout w:type="fixed"/>
        <w:tblCellMar>
          <w:top w:w="0" w:type="dxa"/>
          <w:left w:w="0" w:type="dxa"/>
          <w:bottom w:w="0" w:type="dxa"/>
          <w:right w:w="0" w:type="dxa"/>
        </w:tblCellMar>
      </w:tblPr>
      <w:tblGrid>
        <w:gridCol w:w="155"/>
        <w:gridCol w:w="6830"/>
      </w:tblGrid>
      <w:tr>
        <w:trPr/>
        <w:tc>
          <w:tcPr>
            <w:tcW w:w="155" w:type="dxa"/>
            <w:tcBorders/>
            <w:vAlign w:val="center"/>
          </w:tcPr>
          <w:p>
            <w:pPr>
              <w:pStyle w:val="TableContents"/>
              <w:bidi w:val="0"/>
              <w:spacing w:before="0" w:after="283"/>
              <w:jc w:val="left"/>
              <w:rPr>
                <w:color w:val="000000"/>
              </w:rPr>
            </w:pPr>
            <w:r>
              <w:rPr>
                <w:color w:val="000000"/>
              </w:rPr>
              <w:t>•</w:t>
            </w:r>
          </w:p>
        </w:tc>
        <w:tc>
          <w:tcPr>
            <w:tcW w:w="6830" w:type="dxa"/>
            <w:tcBorders/>
            <w:vAlign w:val="center"/>
          </w:tcPr>
          <w:p>
            <w:pPr>
              <w:pStyle w:val="TableContents"/>
              <w:bidi w:val="0"/>
              <w:spacing w:before="0" w:after="0"/>
              <w:jc w:val="left"/>
              <w:rPr>
                <w:color w:val="000000"/>
              </w:rPr>
            </w:pPr>
            <w:r>
              <w:rPr>
                <w:color w:val="000000"/>
              </w:rPr>
              <w:t>Our customers’ budgetary constraints and timing of their budget cycles;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71" w:name="zc42ac794e18a46938b821058c14a7410"/>
      <w:bookmarkStart w:id="72" w:name="zc42ac794e18a46938b821058c14a7410"/>
      <w:bookmarkEnd w:id="72"/>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Delays caused by time-consuming internal review processes customary with potential customers including large government agencies and institutions in the space and defense industries; and</w:t>
            </w:r>
          </w:p>
        </w:tc>
      </w:tr>
    </w:tbl>
    <w:p>
      <w:pPr>
        <w:pStyle w:val="Normal"/>
        <w:bidi w:val="0"/>
        <w:spacing w:before="0" w:after="0"/>
        <w:jc w:val="left"/>
        <w:rPr>
          <w:sz w:val="4"/>
          <w:szCs w:val="4"/>
        </w:rPr>
      </w:pPr>
      <w:r>
        <w:rPr>
          <w:sz w:val="4"/>
          <w:szCs w:val="4"/>
        </w:rPr>
      </w:r>
      <w:bookmarkStart w:id="73" w:name="z82833b7d9eda4fa9a21dab68007e7a63"/>
      <w:bookmarkStart w:id="74" w:name="z82833b7d9eda4fa9a21dab68007e7a63"/>
      <w:bookmarkEnd w:id="74"/>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Long sales cycles may increase the risk that our financial resources are exhausted before we generate significant revenue.</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potential customers include local, state, federal and foreign government agencies, as well as institutions in the space and defense industries. Sales processes to government authorities can be extensive and unpredictable. Government authorities generally have complex budgeting, purchasing, and regulatory processes that govern their capital spending, and their spending is likely to be adversely impacted by economic conditions. In addition, in many instances, sales to government authorities may require field trials and may be delayed by the time it takes for government officials to evaluate multiple competing bids, negotiate terms, and award contracts. For these reasons, the sales cycle associated with our products is subject to a number of significant risks that are beyond our control. Consequently, if customer orders are delayed or not realized, our revenues and results of operations could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offer our products to government entities, which are subject to a number of challenges and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Government entities have announced reductions in, or experienced increased pressure to reduce, government spending. Continued U.S. debt, income tax and budget issues, government shutdowns and delays in approving U.S. spending or reductions in such may adversely impact existing or future U.S. public sector transactions and affect future sales of our products and services to such entities. Additionally, any future government demand and payment for our products may be more volatile as they are affected by public sector budgetary cycles, funding authorizations, and the potential for funding reductions or delays, making the time to close such transactions more difficult to predict.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sales to government entities are subject to a number of risks. Government entities may continue use of legacy products and services indefinitely and be slow to transition to more modern products and services, including ours, or impose challenging regulatory requirements on such adoptions, any of which may inhibit the growth of our public sector business.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or require the maintenance of certain facility and employee security clearance, which may be difficult to obtain or maintain.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could be adversely affected if our employees cannot obtain and maintain required personnel security clearances or we cannot establish and maintain a required facility security clearance.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government contracts may require our employees to maintain various levels of security clearances and may require us to maintain a facility security clearance to comply with U.S. and international government agency requirements. Many governments have strict security clearance requirements for personnel who perform work in support of classified programs. Obtaining and maintaining security clearances for employees typically involves a lengthy process, and it can be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we may be unable to bid on or win new classified contracts. To the extent we are not able to obtain or maintain a facility security clearance, we may not be able to bid on or win classified contracts, which would have an adverse impact on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have limited technical resources and are at an early stage in commercialization of our VirnetX One™ platform and software products, as well as our DE, DTE methods, MBSE, and cyber threat assessment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Part of our business includes the internal development of commercial products we seek to monetize. This aspect of our business may require significant capital, time and resources and we cannot guarantee that it will be successful or meet our expectations. Based on the scale of our technical resources, our limited historical financial data upon which to base our projected revenue or planned operating expenses related to our software products and services, we may not be able to effectively: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75" w:name="zb614c219a31c4850b596de83728a9900"/>
      <w:bookmarkStart w:id="76" w:name="zb614c219a31c4850b596de83728a9900"/>
      <w:bookmarkEnd w:id="76"/>
    </w:p>
    <w:tbl>
      <w:tblPr>
        <w:tblW w:w="9100" w:type="dxa"/>
        <w:jc w:val="left"/>
        <w:tblInd w:w="0" w:type="dxa"/>
        <w:tblLayout w:type="fixed"/>
        <w:tblCellMar>
          <w:top w:w="0" w:type="dxa"/>
          <w:left w:w="0" w:type="dxa"/>
          <w:bottom w:w="0" w:type="dxa"/>
          <w:right w:w="0" w:type="dxa"/>
        </w:tblCellMar>
      </w:tblPr>
      <w:tblGrid>
        <w:gridCol w:w="155"/>
        <w:gridCol w:w="8945"/>
      </w:tblGrid>
      <w:tr>
        <w:trPr/>
        <w:tc>
          <w:tcPr>
            <w:tcW w:w="155"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Implement an effective marketing strategy to promote awareness of our products and services;</w:t>
            </w:r>
          </w:p>
        </w:tc>
      </w:tr>
    </w:tbl>
    <w:p>
      <w:pPr>
        <w:pStyle w:val="Normal"/>
        <w:bidi w:val="0"/>
        <w:spacing w:before="0" w:after="0"/>
        <w:jc w:val="left"/>
        <w:rPr>
          <w:sz w:val="4"/>
          <w:szCs w:val="4"/>
        </w:rPr>
      </w:pPr>
      <w:r>
        <w:rPr>
          <w:sz w:val="4"/>
          <w:szCs w:val="4"/>
        </w:rPr>
      </w:r>
      <w:bookmarkStart w:id="77" w:name="z4951031c55dc4df29f8ec0750ac2f8ae"/>
      <w:bookmarkStart w:id="78" w:name="z4951031c55dc4df29f8ec0750ac2f8ae"/>
      <w:bookmarkEnd w:id="78"/>
    </w:p>
    <w:tbl>
      <w:tblPr>
        <w:tblW w:w="5740" w:type="dxa"/>
        <w:jc w:val="left"/>
        <w:tblInd w:w="0" w:type="dxa"/>
        <w:tblLayout w:type="fixed"/>
        <w:tblCellMar>
          <w:top w:w="0" w:type="dxa"/>
          <w:left w:w="0" w:type="dxa"/>
          <w:bottom w:w="0" w:type="dxa"/>
          <w:right w:w="0" w:type="dxa"/>
        </w:tblCellMar>
      </w:tblPr>
      <w:tblGrid>
        <w:gridCol w:w="155"/>
        <w:gridCol w:w="5585"/>
      </w:tblGrid>
      <w:tr>
        <w:trPr/>
        <w:tc>
          <w:tcPr>
            <w:tcW w:w="155" w:type="dxa"/>
            <w:tcBorders/>
            <w:vAlign w:val="center"/>
          </w:tcPr>
          <w:p>
            <w:pPr>
              <w:pStyle w:val="TableContents"/>
              <w:bidi w:val="0"/>
              <w:spacing w:before="0" w:after="283"/>
              <w:jc w:val="left"/>
              <w:rPr>
                <w:color w:val="000000"/>
              </w:rPr>
            </w:pPr>
            <w:r>
              <w:rPr>
                <w:color w:val="000000"/>
              </w:rPr>
              <w:t>•</w:t>
            </w:r>
          </w:p>
        </w:tc>
        <w:tc>
          <w:tcPr>
            <w:tcW w:w="5585" w:type="dxa"/>
            <w:tcBorders/>
            <w:vAlign w:val="center"/>
          </w:tcPr>
          <w:p>
            <w:pPr>
              <w:pStyle w:val="TableContents"/>
              <w:bidi w:val="0"/>
              <w:spacing w:before="0" w:after="0"/>
              <w:jc w:val="both"/>
              <w:rPr>
                <w:color w:val="000000"/>
              </w:rPr>
            </w:pPr>
            <w:r>
              <w:rPr>
                <w:color w:val="000000"/>
              </w:rPr>
              <w:t>Attract and retain customers for our products and services;</w:t>
            </w:r>
          </w:p>
        </w:tc>
      </w:tr>
    </w:tbl>
    <w:p>
      <w:pPr>
        <w:pStyle w:val="Normal"/>
        <w:bidi w:val="0"/>
        <w:spacing w:before="0" w:after="0"/>
        <w:jc w:val="left"/>
        <w:rPr>
          <w:sz w:val="4"/>
          <w:szCs w:val="4"/>
        </w:rPr>
      </w:pPr>
      <w:r>
        <w:rPr>
          <w:sz w:val="4"/>
          <w:szCs w:val="4"/>
        </w:rPr>
      </w:r>
      <w:bookmarkStart w:id="79" w:name="z5afc49ffcc294b14b4c3cb9b86a04924"/>
      <w:bookmarkStart w:id="80" w:name="z5afc49ffcc294b14b4c3cb9b86a04924"/>
      <w:bookmarkEnd w:id="80"/>
    </w:p>
    <w:tbl>
      <w:tblPr>
        <w:tblW w:w="4690" w:type="dxa"/>
        <w:jc w:val="left"/>
        <w:tblInd w:w="0" w:type="dxa"/>
        <w:tblLayout w:type="fixed"/>
        <w:tblCellMar>
          <w:top w:w="0" w:type="dxa"/>
          <w:left w:w="0" w:type="dxa"/>
          <w:bottom w:w="0" w:type="dxa"/>
          <w:right w:w="0" w:type="dxa"/>
        </w:tblCellMar>
      </w:tblPr>
      <w:tblGrid>
        <w:gridCol w:w="155"/>
        <w:gridCol w:w="4535"/>
      </w:tblGrid>
      <w:tr>
        <w:trPr/>
        <w:tc>
          <w:tcPr>
            <w:tcW w:w="155" w:type="dxa"/>
            <w:tcBorders/>
            <w:vAlign w:val="center"/>
          </w:tcPr>
          <w:p>
            <w:pPr>
              <w:pStyle w:val="TableContents"/>
              <w:bidi w:val="0"/>
              <w:spacing w:before="0" w:after="283"/>
              <w:jc w:val="left"/>
              <w:rPr>
                <w:color w:val="000000"/>
              </w:rPr>
            </w:pPr>
            <w:r>
              <w:rPr>
                <w:color w:val="000000"/>
              </w:rPr>
              <w:t>•</w:t>
            </w:r>
          </w:p>
        </w:tc>
        <w:tc>
          <w:tcPr>
            <w:tcW w:w="4535" w:type="dxa"/>
            <w:tcBorders/>
            <w:vAlign w:val="center"/>
          </w:tcPr>
          <w:p>
            <w:pPr>
              <w:pStyle w:val="TableContents"/>
              <w:bidi w:val="0"/>
              <w:spacing w:before="0" w:after="0"/>
              <w:jc w:val="both"/>
              <w:rPr>
                <w:color w:val="000000"/>
              </w:rPr>
            </w:pPr>
            <w:r>
              <w:rPr>
                <w:color w:val="000000"/>
              </w:rPr>
              <w:t>Generate revenues or profit from product sales;</w:t>
            </w:r>
          </w:p>
        </w:tc>
      </w:tr>
    </w:tbl>
    <w:p>
      <w:pPr>
        <w:pStyle w:val="Normal"/>
        <w:bidi w:val="0"/>
        <w:spacing w:before="0" w:after="0"/>
        <w:jc w:val="left"/>
        <w:rPr>
          <w:sz w:val="4"/>
          <w:szCs w:val="4"/>
        </w:rPr>
      </w:pPr>
      <w:r>
        <w:rPr>
          <w:sz w:val="4"/>
          <w:szCs w:val="4"/>
        </w:rPr>
      </w:r>
      <w:bookmarkStart w:id="81" w:name="z600074c432984acf944bf41882901f4a"/>
      <w:bookmarkStart w:id="82" w:name="z600074c432984acf944bf41882901f4a"/>
      <w:bookmarkEnd w:id="82"/>
    </w:p>
    <w:tbl>
      <w:tblPr>
        <w:tblW w:w="8365" w:type="dxa"/>
        <w:jc w:val="left"/>
        <w:tblInd w:w="0" w:type="dxa"/>
        <w:tblLayout w:type="fixed"/>
        <w:tblCellMar>
          <w:top w:w="0" w:type="dxa"/>
          <w:left w:w="0" w:type="dxa"/>
          <w:bottom w:w="0" w:type="dxa"/>
          <w:right w:w="0" w:type="dxa"/>
        </w:tblCellMar>
      </w:tblPr>
      <w:tblGrid>
        <w:gridCol w:w="155"/>
        <w:gridCol w:w="8210"/>
      </w:tblGrid>
      <w:tr>
        <w:trPr/>
        <w:tc>
          <w:tcPr>
            <w:tcW w:w="155" w:type="dxa"/>
            <w:tcBorders/>
            <w:vAlign w:val="center"/>
          </w:tcPr>
          <w:p>
            <w:pPr>
              <w:pStyle w:val="TableContents"/>
              <w:bidi w:val="0"/>
              <w:spacing w:before="0" w:after="283"/>
              <w:jc w:val="left"/>
              <w:rPr>
                <w:color w:val="000000"/>
              </w:rPr>
            </w:pPr>
            <w:r>
              <w:rPr>
                <w:color w:val="000000"/>
              </w:rPr>
              <w:t>•</w:t>
            </w:r>
          </w:p>
        </w:tc>
        <w:tc>
          <w:tcPr>
            <w:tcW w:w="8210" w:type="dxa"/>
            <w:tcBorders/>
            <w:vAlign w:val="center"/>
          </w:tcPr>
          <w:p>
            <w:pPr>
              <w:pStyle w:val="TableContents"/>
              <w:bidi w:val="0"/>
              <w:spacing w:before="0" w:after="0"/>
              <w:jc w:val="both"/>
              <w:rPr>
                <w:color w:val="000000"/>
              </w:rPr>
            </w:pPr>
            <w:r>
              <w:rPr>
                <w:color w:val="000000"/>
              </w:rPr>
              <w:t>Provide appropriate levels of customer training and technical support for our products;</w:t>
            </w:r>
          </w:p>
        </w:tc>
      </w:tr>
    </w:tbl>
    <w:p>
      <w:pPr>
        <w:pStyle w:val="Normal"/>
        <w:bidi w:val="0"/>
        <w:spacing w:before="0" w:after="0"/>
        <w:jc w:val="left"/>
        <w:rPr>
          <w:sz w:val="4"/>
          <w:szCs w:val="4"/>
        </w:rPr>
      </w:pPr>
      <w:r>
        <w:rPr>
          <w:sz w:val="4"/>
          <w:szCs w:val="4"/>
        </w:rPr>
      </w:r>
      <w:bookmarkStart w:id="83" w:name="z4e5995165cab46729b67397628fec6d5"/>
      <w:bookmarkStart w:id="84" w:name="z4e5995165cab46729b67397628fec6d5"/>
      <w:bookmarkEnd w:id="84"/>
    </w:p>
    <w:tbl>
      <w:tblPr>
        <w:tblW w:w="9235" w:type="dxa"/>
        <w:jc w:val="left"/>
        <w:tblInd w:w="0" w:type="dxa"/>
        <w:tblLayout w:type="fixed"/>
        <w:tblCellMar>
          <w:top w:w="0" w:type="dxa"/>
          <w:left w:w="0" w:type="dxa"/>
          <w:bottom w:w="0" w:type="dxa"/>
          <w:right w:w="0" w:type="dxa"/>
        </w:tblCellMar>
      </w:tblPr>
      <w:tblGrid>
        <w:gridCol w:w="155"/>
        <w:gridCol w:w="9080"/>
      </w:tblGrid>
      <w:tr>
        <w:trPr/>
        <w:tc>
          <w:tcPr>
            <w:tcW w:w="155" w:type="dxa"/>
            <w:tcBorders/>
            <w:vAlign w:val="center"/>
          </w:tcPr>
          <w:p>
            <w:pPr>
              <w:pStyle w:val="TableContents"/>
              <w:bidi w:val="0"/>
              <w:spacing w:before="0" w:after="283"/>
              <w:jc w:val="left"/>
              <w:rPr>
                <w:color w:val="000000"/>
              </w:rPr>
            </w:pPr>
            <w:r>
              <w:rPr>
                <w:color w:val="000000"/>
              </w:rPr>
              <w:t>•</w:t>
            </w:r>
          </w:p>
        </w:tc>
        <w:tc>
          <w:tcPr>
            <w:tcW w:w="9080" w:type="dxa"/>
            <w:tcBorders/>
            <w:vAlign w:val="center"/>
          </w:tcPr>
          <w:p>
            <w:pPr>
              <w:pStyle w:val="TableContents"/>
              <w:bidi w:val="0"/>
              <w:spacing w:before="0" w:after="0"/>
              <w:jc w:val="both"/>
              <w:rPr>
                <w:color w:val="000000"/>
              </w:rPr>
            </w:pPr>
            <w:r>
              <w:rPr>
                <w:color w:val="000000"/>
              </w:rPr>
              <w:t>Rapidly anticipate and adapt to changes in the market and evolving customer requirements; and</w:t>
            </w:r>
          </w:p>
        </w:tc>
      </w:tr>
    </w:tbl>
    <w:p>
      <w:pPr>
        <w:pStyle w:val="Normal"/>
        <w:bidi w:val="0"/>
        <w:spacing w:before="0" w:after="0"/>
        <w:jc w:val="left"/>
        <w:rPr>
          <w:sz w:val="4"/>
          <w:szCs w:val="4"/>
        </w:rPr>
      </w:pPr>
      <w:r>
        <w:rPr>
          <w:sz w:val="4"/>
          <w:szCs w:val="4"/>
        </w:rPr>
      </w:r>
      <w:bookmarkStart w:id="85" w:name="zc0cd883e989b4e219c092a74554f72c0"/>
      <w:bookmarkStart w:id="86" w:name="zc0cd883e989b4e219c092a74554f72c0"/>
      <w:bookmarkEnd w:id="86"/>
    </w:p>
    <w:tbl>
      <w:tblPr>
        <w:tblW w:w="6265" w:type="dxa"/>
        <w:jc w:val="left"/>
        <w:tblInd w:w="0" w:type="dxa"/>
        <w:tblLayout w:type="fixed"/>
        <w:tblCellMar>
          <w:top w:w="0" w:type="dxa"/>
          <w:left w:w="0" w:type="dxa"/>
          <w:bottom w:w="0" w:type="dxa"/>
          <w:right w:w="0" w:type="dxa"/>
        </w:tblCellMar>
      </w:tblPr>
      <w:tblGrid>
        <w:gridCol w:w="155"/>
        <w:gridCol w:w="6110"/>
      </w:tblGrid>
      <w:tr>
        <w:trPr/>
        <w:tc>
          <w:tcPr>
            <w:tcW w:w="155" w:type="dxa"/>
            <w:tcBorders/>
            <w:vAlign w:val="center"/>
          </w:tcPr>
          <w:p>
            <w:pPr>
              <w:pStyle w:val="TableContents"/>
              <w:bidi w:val="0"/>
              <w:spacing w:before="0" w:after="283"/>
              <w:jc w:val="left"/>
              <w:rPr>
                <w:color w:val="000000"/>
              </w:rPr>
            </w:pPr>
            <w:r>
              <w:rPr>
                <w:color w:val="000000"/>
              </w:rPr>
              <w:t>•</w:t>
            </w:r>
          </w:p>
        </w:tc>
        <w:tc>
          <w:tcPr>
            <w:tcW w:w="6110" w:type="dxa"/>
            <w:tcBorders/>
            <w:vAlign w:val="center"/>
          </w:tcPr>
          <w:p>
            <w:pPr>
              <w:pStyle w:val="TableContents"/>
              <w:bidi w:val="0"/>
              <w:spacing w:before="0" w:after="0"/>
              <w:jc w:val="both"/>
              <w:rPr>
                <w:color w:val="000000"/>
              </w:rPr>
            </w:pPr>
            <w:r>
              <w:rPr>
                <w:color w:val="000000"/>
              </w:rPr>
              <w:t>Protect our products from any system failures or other breaches.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 high percentage of our expenses are and will continue to be fixed. Accordingly, if we do not generate revenue as and when anticipated, our losses may be greater than expected and our operating results will suffer.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market in which we participate is intensely competitive, and if we do not compete effectively, our operating results could be harmed.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 for ZTNA security solutions is rapidly evolving and highly competitive as new entrants and traditional network solutions companies offer cloud-based cybersecurity solutions. Competition in our business is highly diverse, and while our competitors offer different products and services, there is often competition for contracts that are part of government budgets. We also may face competition from companies that provide products and services to the U.S. Government, including defense contractors.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Many of our competitors and potential competitors have established brand recognition, larger customer bases, and greater resources than we do. Our primary competitors in the ZTNA market include Appgate, Cloudflare, and Illumio. In the enterprise market, our primary competitors include Zscaler (ZPA), Palo Alto Networks (Prisma Access), Cisco (Umbrella), Citrix (Secure Private Access), Netskope (Private Access for ZTNA) and Cato Networks. As we expand our product offerings and use cases, we will begin to compete with companies that offer bundled security-as-a-service solutions that include Secure Access Service Edge (SASE) and Security Service Edge (SSE). With the introduction of new technologies and market entrants, we expect competition to intensify in the future. For example, disruptive technologies such as generative AI have and may continue to fundamentally alter the market for our services in unpredictable ways and reduce customer demand. If we fail to compete effectively, our business will be harmed. Some of our competitors offer their products or services at lower prices or for free as part of a broader bundled product sale or enterprise license arrangement, which has placed pricing pressure on our business. If we are unable to achieve our target pricing levels, our operating results will be negatively impacted. For us to compete effectively, we need to introduce new products and services in a timely and cost-effective manner, meet customer expectations and needs at prices that customers are willing to pay, and continue to enhance the features and functionalities of our cloud content management platform. In addition, pricing pressures and increased competition could result in reduced sales, lower margins, losses, or the failure of our services to achieve or maintain widespread market acceptance, any of which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Many of our competitors are able to devote greater resources to the development, promotion and sale of their products or services. In addition, many of our competitors have established marketing relationships and major distribution agreements with government agencies, channel partners, consultants, system integrators, and resellers. Competitors may offer products or services at lower prices or with greater depth than our services. Our competitors may be able to respond more quickly and effectively to new or changing opportunities, technologies, standards, or customer requirements. Furthermore, some potential customers, particularly large enterprises, may elect to develop their own internal solutions. In addition, the U.S. government and foreign governments may develop, construct, launch and operate their own ZTNA security solutions with capabilities comparable or similar to ours, which could reduce their need to rely on us and other commercial suppliers. For any of these reasons, we may not be able to compete successfully against our competitors.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products are highly technical and may contain undetected errors, which could cause harm to our reputation and adversely affect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products are highly technical and complex and, when deployed, may contain errors or defects. Despite testing, some errors in our products may only be discovered after a product has been installed and used by customers. Any errors or defects discovered in our products after commercial release could result in failure to achieve market acceptance, loss of revenue or delay in revenue recognition, loss of customers and increased service and warranty cost, any of which could adversely affect our business, operating results, and financial condition. In addition, we could face claims for product liability, tort, or breach of warranty, including claims relating to changes to our products made by our channel partners. The performance of our products could have unforeseen or unknown adverse effects on the networks over which they are delivered as well as on third-party applications and services that utilize our services, which could result in legal claims against us harming our business. Furthermore, we expect to provide implementation, consulting, and other technical services in connection with the implementation and ongoing maintenance of our products, which typically involves working with sophisticated software, computing, and communications systems. We expect that our contracts with customers will contain provisions relating to warranty disclaimers and liability limitations, which may not be upheld. Defending a lawsuit, regardless of its merit, is costly and may divert management’s attention and adversely affect the market’s perception of us and our products. In addition, if our business liability insurance coverage proves inadequate or future coverage is unavailable on acceptable terms or at all, our business, operating results, and financial condition could be adversely impacted.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Malfunctions of third-party communications infrastructure, hardware and software expose us to a variety of risks that we cannot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will depend upon, among other things, the capacity, reliability, security, and unimpeded access of the infrastructure owned by third parties that we will use to deploy our offerings. We have no control over the operation, quality, or maintenance of a significant portion of that infrastructure or whether those third parties will upgrade or improve their equipment. We depend on these companies to maintain the operational integrity of our connections. If one or more of these companies is unable or unwilling to supply or expand their levels of service to us in the future, our operations could be severely interrupted.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System failure or interruption or our failure to meet increasing demands on our systems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success of our license and service offerings will depend on the uninterrupted operation of various systems, secure data centers and other computer and communication networks that we establish. To the extent, the number of users of networks utilizing our future products suddenly increases, the technology platform and hosting services which will be required to accommodate a higher volume of traffic may result in slower response times, service interruptions or delays or system failures. Our systems and operations will also be vulnerable to damage or interruption from, among other things: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308d50abcaed48bfac2ea991c9bf5e7b"/>
      <w:bookmarkStart w:id="88" w:name="z308d50abcaed48bfac2ea991c9bf5e7b"/>
      <w:bookmarkEnd w:id="88"/>
    </w:p>
    <w:tbl>
      <w:tblPr>
        <w:tblW w:w="7315" w:type="dxa"/>
        <w:jc w:val="left"/>
        <w:tblInd w:w="0" w:type="dxa"/>
        <w:tblLayout w:type="fixed"/>
        <w:tblCellMar>
          <w:top w:w="0" w:type="dxa"/>
          <w:left w:w="0" w:type="dxa"/>
          <w:bottom w:w="0" w:type="dxa"/>
          <w:right w:w="0" w:type="dxa"/>
        </w:tblCellMar>
      </w:tblPr>
      <w:tblGrid>
        <w:gridCol w:w="155"/>
        <w:gridCol w:w="7160"/>
      </w:tblGrid>
      <w:tr>
        <w:trPr/>
        <w:tc>
          <w:tcPr>
            <w:tcW w:w="155" w:type="dxa"/>
            <w:tcBorders/>
            <w:vAlign w:val="center"/>
          </w:tcPr>
          <w:p>
            <w:pPr>
              <w:pStyle w:val="TableContents"/>
              <w:bidi w:val="0"/>
              <w:spacing w:before="0" w:after="283"/>
              <w:jc w:val="left"/>
              <w:rPr>
                <w:color w:val="000000"/>
              </w:rPr>
            </w:pPr>
            <w:r>
              <w:rPr>
                <w:color w:val="000000"/>
              </w:rPr>
              <w:t>•</w:t>
            </w:r>
          </w:p>
        </w:tc>
        <w:tc>
          <w:tcPr>
            <w:tcW w:w="7160" w:type="dxa"/>
            <w:tcBorders/>
            <w:vAlign w:val="center"/>
          </w:tcPr>
          <w:p>
            <w:pPr>
              <w:pStyle w:val="TableContents"/>
              <w:bidi w:val="0"/>
              <w:spacing w:before="0" w:after="0"/>
              <w:jc w:val="both"/>
              <w:rPr>
                <w:color w:val="000000"/>
              </w:rPr>
            </w:pPr>
            <w:r>
              <w:rPr>
                <w:color w:val="000000"/>
              </w:rPr>
              <w:t>Power loss, transmission cable cuts, and other telecommunications failures;</w:t>
            </w:r>
          </w:p>
        </w:tc>
      </w:tr>
    </w:tbl>
    <w:p>
      <w:pPr>
        <w:pStyle w:val="Normal"/>
        <w:bidi w:val="0"/>
        <w:spacing w:before="0" w:after="0"/>
        <w:jc w:val="left"/>
        <w:rPr>
          <w:sz w:val="4"/>
          <w:szCs w:val="4"/>
        </w:rPr>
      </w:pPr>
      <w:r>
        <w:rPr>
          <w:sz w:val="4"/>
          <w:szCs w:val="4"/>
        </w:rPr>
      </w:r>
      <w:bookmarkStart w:id="89" w:name="zaacc7f5ba6eb48a9bc09c2135b34f20b"/>
      <w:bookmarkStart w:id="90" w:name="zaacc7f5ba6eb48a9bc09c2135b34f20b"/>
      <w:bookmarkEnd w:id="90"/>
    </w:p>
    <w:tbl>
      <w:tblPr>
        <w:tblW w:w="7615" w:type="dxa"/>
        <w:jc w:val="left"/>
        <w:tblInd w:w="0" w:type="dxa"/>
        <w:tblLayout w:type="fixed"/>
        <w:tblCellMar>
          <w:top w:w="0" w:type="dxa"/>
          <w:left w:w="0" w:type="dxa"/>
          <w:bottom w:w="0" w:type="dxa"/>
          <w:right w:w="0" w:type="dxa"/>
        </w:tblCellMar>
      </w:tblPr>
      <w:tblGrid>
        <w:gridCol w:w="155"/>
        <w:gridCol w:w="7460"/>
      </w:tblGrid>
      <w:tr>
        <w:trPr/>
        <w:tc>
          <w:tcPr>
            <w:tcW w:w="155" w:type="dxa"/>
            <w:tcBorders/>
            <w:vAlign w:val="center"/>
          </w:tcPr>
          <w:p>
            <w:pPr>
              <w:pStyle w:val="TableContents"/>
              <w:bidi w:val="0"/>
              <w:spacing w:before="0" w:after="283"/>
              <w:jc w:val="left"/>
              <w:rPr>
                <w:color w:val="000000"/>
              </w:rPr>
            </w:pPr>
            <w:r>
              <w:rPr>
                <w:color w:val="000000"/>
              </w:rPr>
              <w:t>•</w:t>
            </w:r>
          </w:p>
        </w:tc>
        <w:tc>
          <w:tcPr>
            <w:tcW w:w="7460" w:type="dxa"/>
            <w:tcBorders/>
            <w:vAlign w:val="center"/>
          </w:tcPr>
          <w:p>
            <w:pPr>
              <w:pStyle w:val="TableContents"/>
              <w:bidi w:val="0"/>
              <w:spacing w:before="0" w:after="0"/>
              <w:jc w:val="both"/>
              <w:rPr>
                <w:color w:val="000000"/>
              </w:rPr>
            </w:pPr>
            <w:r>
              <w:rPr>
                <w:color w:val="000000"/>
              </w:rPr>
              <w:t>Damage or interruption caused by fire, earthquake, and other natural disasters;</w:t>
            </w:r>
          </w:p>
        </w:tc>
      </w:tr>
    </w:tbl>
    <w:p>
      <w:pPr>
        <w:pStyle w:val="Normal"/>
        <w:bidi w:val="0"/>
        <w:spacing w:before="0" w:after="0"/>
        <w:jc w:val="left"/>
        <w:rPr>
          <w:sz w:val="4"/>
          <w:szCs w:val="4"/>
        </w:rPr>
      </w:pPr>
      <w:r>
        <w:rPr>
          <w:sz w:val="4"/>
          <w:szCs w:val="4"/>
        </w:rPr>
      </w:r>
      <w:bookmarkStart w:id="91" w:name="z01a8f4b706694d44b7fdc19d5ef22cc1"/>
      <w:bookmarkStart w:id="92" w:name="z01a8f4b706694d44b7fdc19d5ef22cc1"/>
      <w:bookmarkEnd w:id="92"/>
    </w:p>
    <w:tbl>
      <w:tblPr>
        <w:tblW w:w="8275" w:type="dxa"/>
        <w:jc w:val="left"/>
        <w:tblInd w:w="0" w:type="dxa"/>
        <w:tblLayout w:type="fixed"/>
        <w:tblCellMar>
          <w:top w:w="0" w:type="dxa"/>
          <w:left w:w="0" w:type="dxa"/>
          <w:bottom w:w="0" w:type="dxa"/>
          <w:right w:w="0" w:type="dxa"/>
        </w:tblCellMar>
      </w:tblPr>
      <w:tblGrid>
        <w:gridCol w:w="155"/>
        <w:gridCol w:w="8120"/>
      </w:tblGrid>
      <w:tr>
        <w:trPr/>
        <w:tc>
          <w:tcPr>
            <w:tcW w:w="155" w:type="dxa"/>
            <w:tcBorders/>
            <w:vAlign w:val="center"/>
          </w:tcPr>
          <w:p>
            <w:pPr>
              <w:pStyle w:val="TableContents"/>
              <w:bidi w:val="0"/>
              <w:spacing w:before="0" w:after="283"/>
              <w:jc w:val="left"/>
              <w:rPr>
                <w:color w:val="000000"/>
              </w:rPr>
            </w:pPr>
            <w:r>
              <w:rPr>
                <w:color w:val="000000"/>
              </w:rPr>
              <w:t>•</w:t>
            </w:r>
          </w:p>
        </w:tc>
        <w:tc>
          <w:tcPr>
            <w:tcW w:w="8120" w:type="dxa"/>
            <w:tcBorders/>
            <w:vAlign w:val="center"/>
          </w:tcPr>
          <w:p>
            <w:pPr>
              <w:pStyle w:val="TableContents"/>
              <w:bidi w:val="0"/>
              <w:spacing w:before="0" w:after="0"/>
              <w:jc w:val="both"/>
              <w:rPr>
                <w:color w:val="000000"/>
              </w:rPr>
            </w:pPr>
            <w:r>
              <w:rPr>
                <w:color w:val="000000"/>
              </w:rPr>
              <w:t>Computer viruses, electronic break-ins, sabotage, vandalism, or software defects; and</w:t>
            </w:r>
          </w:p>
        </w:tc>
      </w:tr>
    </w:tbl>
    <w:p>
      <w:pPr>
        <w:pStyle w:val="Normal"/>
        <w:bidi w:val="0"/>
        <w:spacing w:before="0" w:after="0"/>
        <w:jc w:val="left"/>
        <w:rPr>
          <w:sz w:val="4"/>
          <w:szCs w:val="4"/>
        </w:rPr>
      </w:pPr>
      <w:r>
        <w:rPr>
          <w:sz w:val="4"/>
          <w:szCs w:val="4"/>
        </w:rPr>
      </w:r>
      <w:bookmarkStart w:id="93" w:name="ze0b3e3efb2124c8992534286fcdd4e95"/>
      <w:bookmarkStart w:id="94" w:name="ze0b3e3efb2124c8992534286fcdd4e95"/>
      <w:bookmarkEnd w:id="94"/>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Physical or electronic break-ins, sabotage, intentional acts of vandalism, terrorist attacks, and other events beyond our control.</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System interruptions or failures and increases or delays in response time could result in a loss of potential or existing users and, if sustained or repeated, could reduce the appeal of the networks to users. These types of occurrences could cause users to perceive that our solution does not function properly and could therefore adversely affect our ability to attract and retain licensees, strategic partners, and customers, and result in lost revenue, customer dissatisfaction, or lawsuits against us.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not able to adequately protect our patent rights and trade secrets, our business would be negatively impacted.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our patents are valid, enforceable, and valuable. Notwithstanding this belief, third parties may make claims of infringement with respect to our products or services or invalidity claims with respect to our patents or become aware of our trade secrets by way of leaks from bad actors within or outside of our employee base or otherwise, and such claims could give rise to material cost for defense or settlement or both, and such claims or leaks could jeopardize or substantially delay a successful outcome of litigation we are or may become involved in, divert resources away from our other activities, limit or cease our related revenues, or otherwise materially and adversely affect our business. Even if we are successful in protecting our intellectual property rights, they may not ultimately provide us with any competitive advantages and may be less valuable than we currently expect. These risks may be heightened in countries other than the United States where laws regarding patent protection are less developed and may be negatively affected by the fact that legal standards in the United States and elsewhere for protection of intellectual property rights in Internet-related businesses are uncertain and still evolving. In addition, there are a significant number of United States and foreign patents and patent applications in our areas of interest, and we expect that significant litigation in these areas will continue and will add uncertainty to the value of certain patents and other intellectual property rights in our areas of interest. If we are unable to protect our intellectual property rights or otherwise realize value from them, our business would be negatively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experience security breaches or incidents, we could be exposed to liability and our reputation and business could suffer.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face security threats from malicious third parties that could obtain unauthorized access to our systems, network, and data. We expect to retain certain confidential and proprietary customer information in our secure data centers and secure domain name registry, as well as personal data and other confidential and proprietary information relating to our business. It is critical to our business strategy that our facilities and infrastructure, including our secure domain name servers, remain secure and are perceived by the marketplace to be secure. Our secure domain name registry operations will also depend on our ability to maintain our computer and telecommunications equipment in effective working order and to reasonably protect our systems against interruption, and potentially depend on protection by other registrars in the shared registration system.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expect to expend significant time and money to maintain or increase the security of our products, facilities, and infrastructure. Security technologies are constantly being tested by computer professionals, academics and “hackers.” Advances in computer capabilities and the techniques for attacking security solutions, new discoveries in the field of cryptography or other events or developments could result in compromises or breaches of our security measures and could make some or all our products obsolete or unmarketable. Remote work by our personnel and those of third parties has resulted in increased vulnerability to cyber-attacks. We may need to dedicate engineering and other resources to mitigate or eliminate security vulnerabilities and may find it necessary or appropriate to repair or replace products already sold or licensed to our customers. Despite the security measures that we and our service providers utilize, our infrastructure and that of our service providers may be vulnerable to physical break-ins, ransomware, computer viruses, other malicious code attacks by hackers, phishing attacks, social engineering, or similar disruptive problems. There can be no assurances our security measures or those of our service providers will prevent security breaches or incidents. Any disruption or security breach or incident that we or our service providers suffer or are perceived to suffer, including any such disruption, breach or incident resulting in a loss of, or damage to, data or systems, or inappropriate disclosure, access, loss, or other processing of confidential, financial, proprietary or personal information, including data related to our personnel, could result in loss, disclosure or other unauthorized processing of such data. Such events could delay our research and development or commercialization efforts, could compel us to comply with breach notification laws and regulations, subject us to mandatory corrective action, and otherwise subject us to liability under laws and regulations that protect the privacy and security of personal information. It is possible that we may have to expend additional financial and other resources to address such problems, which could have a material adverse impact on our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during times of war and other geopolitical tensions and conflicts may create increased risks of cyber-attacks. As a provider of Internet security software and technology, we may be the target of dedicated efforts by hackers and other third parties to overcome or defeat our security measures. Any physical or electronic break-in or other security breach or incident or compromise impacting our products, or any information stored at our secure data centers and domain name registration systems, including any compromise due to human error or employee or contractor malfeasance, may jeopardize the security of information stored on our premises or in the computer systems and networks of our customers. Additionally, any such data security incident, or the perception that one has occurred could also result in adverse publicity, harm to our reputation and competitive position, and therefore adversely affect the market’s perception of the security of electronic commerce and communications over IP networks as well as the security or reliability of our services, which could have a material adverse impact on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security breach or other security incident, or the perception any such event has occurred, could require a substantial level of financial resources to address and otherwise respond to, may be difficult to identify or address in a timely manner, and could result in claims, investigations, inquiries, and other proceedings or actions by private parties or governmental entities that may divert management’s attention and require the expenditure of significant time and resources, and which may cause us to incur substantial fines, penalties, or other liability and related legal and other costs. Cybersecurity risks pose a particularly significant risk to our business given our focus on providing internet security software and secure communications technology. Any actual or perceived security breach or other security incident may also harm our reputation, result in a loss of customers, and make it more difficult or impossible for us to successfully market to others. Any of the foregoing matters could harm our business, operating results, and financial condition.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b/>
          <w:i/>
          <w:color w:val="000000"/>
          <w:sz w:val="20"/>
          <w:shd w:fill="FFFFFF" w:val="clear"/>
        </w:rPr>
        <w:t>Our products are subject to governmental export and import controls that could subject us to liability or impair our ability to compete in international markets</w:t>
      </w:r>
      <w:r>
        <w:rPr>
          <w:rFonts w:ascii="Times New Roman" w:hAnsi="Times New Roman"/>
          <w:i/>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we comply with all relevant regulations, any failure by us or any partners to comply with such regulations could have negative consequences for us, including reputational harm, government investigations, and penalties.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Privacy and data security concerns, data collection, and transfer restrictions and related domestic or foreign regulations may limit the use and adoption of our solutions and adversely affect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Personal privacy, information security, and data protection are significant issues in the United States, Europe, and many other jurisdictions where we have operations or offer our products. The regulatory framework governing the collection, processing, storage and use of confidential and proprietary business information and personal data is rapidly evolving. The United States federal, various state and foreign governments have adopted or proposed requirements regarding the collection, distribution, use, security, storage, and other processing of personal information and other data relating to individuals, and federal and state consumer protection laws are being applied to enforce regulations related to the online collection, use and dissemination of data.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 many foreign countries and governmental bodies, including the European Union (EU), where we conduct business, have laws and regulations concerning the collection and use of personal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expect that there will continue to be new proposed laws, regulations and industry standards concerning privacy, data protection and information security in the United States, the EU, and other jurisdictions. For example, the European Commission maintains a General Data Protection Regulation (the GDPR) that imposes stringent data protection requirements and provides for substantial penalties for noncompliance. The United Kingdom has enacted a Data Protection Act and legislation referred to as the UK GDPR that substantially implements the GDPR and provides for a penalty regime similar to the GDPR. The United Kingdom made targeted amendments to the Data Protection Act and the UK GDPR in the UK Data (Use and Access) Act, effective June 19, 2025. We may be required to incur substantial expense in order to make significant changes to our products and operations to address compliance with the GDPR and similar legislation, such as the UK GDPR and UK Data Protection Act, all of which may adversely affect our revenue and product sales. California has enacted legislation, the California Consumer Privacy Act (CCPA) that, among other things, requires covered companies to provide disclosures to California consumers, and afford such consumers abilities to opt-out of certain sales of personal information. The CCPA was modified and expanded by the California Privacy Rights Act (CPRA), which was approved by California voters in the November 2020 election. Additionally, other U.S. states continue to propose, and in certain cases adopt, privacy-focused legislation. For example, Connecticut, Virginia, Utah, and Colorado enacted legislation similar to the CCPA and CPRA that took effect in 2023; Florida, Montana, Oregon, and Texas enacted similar legislation that took effect in 2024; Delaware, Nebraska, Maryland, New Hampshire, New Jersey, Minnesota, Tennessee, and Iowa enacted similar legislation that took effect in 2025; and Indiana, Kentucky, and Rhode Island enacted similar legislation that took effect in 2026; and Alabama and Oklahoma enacted similar legislation that takes effect in 2027.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U.S. Department of Justice has also issued regulations regarding certain bulk sensitive personal data transfers. We cannot yet fully determine the impact these or future laws, regulations and standards may have on our business, but they may require us to modify our data processing practices and policies and to incur substantial costs and expenses in efforts to comply. Privacy, data protection and information security laws and regulations are often subject to differing interpretations, may be inconsistent among jurisdictions, and may be alleged to be inconsistent with our current or future practices. Additionally, we may be bound by contractual requirements applicable to our collection, use, processing, and disclosure of various types of data, including personal data, and may be bound by, or voluntarily comply with, self-regulatory or other industry standards relating to these matters. These and other requirements could reduce demand for our products, increase our costs, impair our ability to grow our business, or restrict our ability to store and process data or, in some cases, impact our ability to offer our service in some locations and may subject us to liability. Any failure or perceived failure to comply with applicable laws, regulations, industry standards, and contractual obligations may adversely affect our business. Further, in view of new or modified federal, state, or foreign laws and regulations, industry standards, contractual obligations and other legal obligations, or any changes in their interpretation, we may find it necessary or desirable to fundamentally change our business activities and practices or to expend significant resources to modify our product and otherwise adapt to these changes. We may be unable to make such changes and modifications in a commercially reasonable manner or at all, and our ability to develop new products and features could be limited.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costs of compliance with and other burdens imposed by laws, regulations and standards may limit the use and adoption of our service and reduce overall demand for it, or lead to significant fines, penalties, or liabilities for any noncompliance. Privacy, information security, and data protection concerns, whether valid or not valid, may inhibit market adoption of our platform, particularly in certain industries and foreign countries</w:t>
      </w:r>
      <w:r>
        <w:rPr>
          <w:rFonts w:ascii="Times New Roman" w:hAnsi="Times New Roman"/>
          <w:i/>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Ownership of Our Common Stock</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do not regularly pay dividends on our common stock and thus stockholders must look to appreciation of our common stock to realize a gain on their investments.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dividend policy is within the discretion of our Board of Directors and will depend upon various factors, including our business, financial condition, results of operations, capital requirements, and investment opportunities. We therefore cannot make assurances that our Board of Directors will determine to pay regular or special dividends in the future. Accordingly, unless our Board of Directors determines to pay dividends, stockholders will be required to look to appreciation of our common stock to realize a gain on their investment, which may not occur.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exercise of our outstanding stock options and the issuance of RSUs and restricted stock would result in a dilution of our current stockholders’ voting power and an increase in the number of shares eligible for future resale in the public market which may negatively impact the market price of our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exercise of our outstanding vested stock options and the vesting of RSUs dilutes the ownership interests of our existing stockholders. As of June 30, 2026, we had 685,339 options to purchase shares of common stock representing approximately 17% of our total shares outstanding of which 218,337 were vested. To the extent restricted stock is awarded, outstanding stock options are exercised, and RSUs vest, existing stockholders’ percentage voting interests will decline. Also, the number of shares eligible for resale in the public market will increase and such increase may have a negative effect on the value or market trading price of our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Investors may have limited influence because ownership of our common stock is limited.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our executive officers and directors beneficially owned approximately 16% of our outstanding common stock. Because of their beneficial ownership interest, our officers and directors could significantly influence stockholder actions. This ability to exercise significant influence could prevent or significantly delay another company from acquiring or merging with us.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protective provisions in our amended and restated certificate of incorporation and amended and restated bylaws could make it difficult for a third party to successfully acquire us even if you would like to sell your stock to them.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protective provisions in our amended and restated certificate of incorporation (Restated Charter) and amended and restated bylaws (Restated Bylaws) that could delay, discourage, or prevent a third party from acquiring control of us without the approval of our Board of Directors. These protective provisions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f9dd089635554386a2e182c16e37aa88"/>
      <w:bookmarkStart w:id="96" w:name="zf9dd089635554386a2e182c16e37aa88"/>
      <w:bookmarkEnd w:id="96"/>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A staggered Board of Directors: Only one or two of five directors will be up for election at any given annual meeting, delaying the ability of stockholders to affect a change in control of us because it would take two annual meetings to effectively replace a majority of the Board of Directors.</w:t>
            </w:r>
          </w:p>
        </w:tc>
      </w:tr>
    </w:tbl>
    <w:p>
      <w:pPr>
        <w:pStyle w:val="Normal"/>
        <w:bidi w:val="0"/>
        <w:spacing w:before="0" w:after="0"/>
        <w:jc w:val="left"/>
        <w:rPr>
          <w:sz w:val="4"/>
          <w:szCs w:val="4"/>
        </w:rPr>
      </w:pPr>
      <w:r>
        <w:rPr>
          <w:sz w:val="4"/>
          <w:szCs w:val="4"/>
        </w:rPr>
      </w:r>
      <w:bookmarkStart w:id="97" w:name="z57f5fc87baf245d18194bf1d3f5908a9"/>
      <w:bookmarkStart w:id="98" w:name="z57f5fc87baf245d18194bf1d3f5908a9"/>
      <w:bookmarkEnd w:id="98"/>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Blank check preferred stock: Our Board of Directors has the authority to establish the rights, preferences, and privileges of our 10,000,000 authorized, but unissued, shares of preferred stock. Therefore, this stock may be issued at the discretion of our Board of Directors with preferences over your shares of our common stock in a manner that is materially dilutive to you. In addition, blank check preferred stock can be used to create a “poison pill” which is designed to deter a hostile bidder from buying a controlling interest in our stock without the approval of our Board of Directors. We have not adopted such a “poison pill;” but our Board of Directors can do so in the future, very rapidly and without stockholder approval.</w:t>
            </w:r>
          </w:p>
        </w:tc>
      </w:tr>
    </w:tbl>
    <w:p>
      <w:pPr>
        <w:pStyle w:val="Normal"/>
        <w:bidi w:val="0"/>
        <w:spacing w:before="0" w:after="0"/>
        <w:jc w:val="left"/>
        <w:rPr>
          <w:sz w:val="4"/>
          <w:szCs w:val="4"/>
        </w:rPr>
      </w:pPr>
      <w:r>
        <w:rPr>
          <w:sz w:val="4"/>
          <w:szCs w:val="4"/>
        </w:rPr>
      </w:r>
      <w:bookmarkStart w:id="99" w:name="z2730d33a4d524c4589f2e0d877064b97"/>
      <w:bookmarkStart w:id="100" w:name="z2730d33a4d524c4589f2e0d877064b97"/>
      <w:bookmarkEnd w:id="100"/>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Advance notice requirements for director nominations and for business to be brought before stockholder meetings: Stockholders wishing to submit director nominations or raise matters to a vote of the stockholders must provide notice to us within very specific date windows and in very specific form to have the matter voted on at a stockholder meeting. This gives our Board of Directors and management more time to react to stockholder proposals generally and could also permit us to disregard a stockholder proposal to the extent such proposal is not submitted in accordance with the Restated Bylaws.</w:t>
            </w:r>
          </w:p>
        </w:tc>
      </w:tr>
    </w:tbl>
    <w:p>
      <w:pPr>
        <w:pStyle w:val="Normal"/>
        <w:bidi w:val="0"/>
        <w:spacing w:before="0" w:after="0"/>
        <w:jc w:val="left"/>
        <w:rPr>
          <w:sz w:val="4"/>
          <w:szCs w:val="4"/>
        </w:rPr>
      </w:pPr>
      <w:r>
        <w:rPr>
          <w:sz w:val="4"/>
          <w:szCs w:val="4"/>
        </w:rPr>
      </w:r>
      <w:bookmarkStart w:id="101" w:name="z3902b65215e640a7bb4e909f107fcb22"/>
      <w:bookmarkStart w:id="102" w:name="z3902b65215e640a7bb4e909f107fcb22"/>
      <w:bookmarkEnd w:id="102"/>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No stockholder actions by written consent: No stockholder or group of stockholders may take action by written consent. Along with the advance notice requirements described above, this provision also gives our Board of Directors and management more time to react to proposed stockholder actions.</w:t>
            </w:r>
          </w:p>
        </w:tc>
      </w:tr>
    </w:tbl>
    <w:p>
      <w:pPr>
        <w:pStyle w:val="Normal"/>
        <w:bidi w:val="0"/>
        <w:spacing w:before="0" w:after="0"/>
        <w:jc w:val="left"/>
        <w:rPr>
          <w:sz w:val="4"/>
          <w:szCs w:val="4"/>
        </w:rPr>
      </w:pPr>
      <w:r>
        <w:rPr>
          <w:sz w:val="4"/>
          <w:szCs w:val="4"/>
        </w:rPr>
      </w:r>
      <w:bookmarkStart w:id="103" w:name="z41bc8ca3490b44ab98e403f2ba0d7361"/>
      <w:bookmarkStart w:id="104" w:name="z41bc8ca3490b44ab98e403f2ba0d7361"/>
      <w:bookmarkEnd w:id="104"/>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Super majority requirement for stockholder amendments to the Restated Bylaws: Stockholder proposals to alter or amend our Restated Bylaws or to adopt new bylaws can only be approved by the affirmative vote of at least 66 2/3% of the outstanding shares of our common stock.</w:t>
            </w:r>
          </w:p>
        </w:tc>
      </w:tr>
    </w:tbl>
    <w:p>
      <w:pPr>
        <w:pStyle w:val="Normal"/>
        <w:bidi w:val="0"/>
        <w:spacing w:before="0" w:after="0"/>
        <w:jc w:val="left"/>
        <w:rPr>
          <w:sz w:val="4"/>
          <w:szCs w:val="4"/>
        </w:rPr>
      </w:pPr>
      <w:r>
        <w:rPr>
          <w:sz w:val="4"/>
          <w:szCs w:val="4"/>
        </w:rPr>
      </w:r>
      <w:bookmarkStart w:id="105" w:name="zf8da40f4683146e1935e757da5f75315"/>
      <w:bookmarkStart w:id="106" w:name="zf8da40f4683146e1935e757da5f75315"/>
      <w:bookmarkEnd w:id="106"/>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No ability of stockholders to call a special meeting of the stockholders: A special meeting of the stockholders, other than as required by statute, may be called at any time by the Board of Directors, the chairman of the Board of Directors, or the president, and any power of stockholders to call a special meeting of stockholders is specifically denied. Accordingly, stockholders, even those who represent a significant percentage of our shares of common stock, may need to wait for the annual meeting before nominating directors or raising other business proposals to be voted on by the stockholders.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provisions of Section 203 of the Delaware General Corporation Law govern us. These provisions may prohibit large stockholders, particularly those owning 15% or more of our outstanding voting stock, from merging or combining with us for a certain period of time. These and other provisions in our Restated Charter, our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0" w:after="0"/>
        <w:jc w:val="both"/>
        <w:rPr>
          <w:b/>
          <w:i/>
          <w:color w:val="000000"/>
        </w:rPr>
      </w:pPr>
      <w:r>
        <w:rPr>
          <w:b/>
          <w:i/>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Delaware General Corporation Law, or our Restated Charter or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indispensable parties named as defendants.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However, notwithstanding the exclusive forum provisions, our Restated Bylaws explicitly state that they would not preclude the filing of claims brought to enforce any liability or duty created under federal securities laws, including the Securities Act or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this exclusive-forum provision in our Restated Bylaws to be inapplicable or unenforceable in an action,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General Risk Factors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need to raise additional capital to support our business in the near term; such capital may be dilutive, may cause our stock price to drop or may not be available on acceptable terms, if at 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extent we are unable to secure additional revenue over the next several months, we will need to raise additional capital in the near term. Based on our current level of operating expenditures, we project that our existing cash, cash equivalents and short-term investments will be insufficient to fund the current level of operations, and we have therefore concluded that the conditions for a going concern disclosure under U.S. GAAP are present, as described in the notes to our consolidated financial statements. Our ability to obtain additional capital, if and when required, will depend on our business plans, investor demand, our operating performance, the condition of the capital markets, the terms of our current contractual obligations and other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we raise additional funds through the issuance of equity, equity-linked or debt securities, including those under our past and any future shelf registration statements, those securities may have rights, preferences, or privileges senior to the rights of our common stock, and our existing stockholders may experience dilution. Additionally, we are unable to predict the future success of any future offerings. Sales of a substantial number of shares of our common stock in the public market, or the perception that these sales or other financings might occur, could depress the market price of our common stock, and could also impair our ability to raise capital through the sale of additional equity securities. If we issue debt securities or incur indebtedness, we could experience increased future payment obligations and a need to comply with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obtain additional capital or are unable to obtain additional capital on satisfactory terms, our ability to continue to support our business growth or to respond to business opportunities, challenges, or other circumstances could be adversely affected, and our business may be harmed.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departure of Kendall Larsen, our Chief Executive Officer and President, and/or other key personnel could compromise our ability to execute our strategic plan and materially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success depends on the skills, experience, and performance of our key personnel. Due to the specialized nature of our business and limited staff, we are particularly dependent on Kendall Larsen, our Chief Executive Officer and President. We have no employment agreements with any of our key executives that prevent them from leaving us at any time. In addition, we do not maintain key person life insurance for any of our officers or key employees. The loss of Mr. Larsen, or our failure to retain other key personnel or plan for the succession of key personnel, would jeopardize our ability to execute our strategic plan and materially harm our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b/>
          <w:i/>
          <w:color w:val="000000"/>
          <w:sz w:val="20"/>
          <w:shd w:fill="FFFFFF" w:val="clear"/>
        </w:rPr>
        <w:t>We will need to recruit and retain additional qualified personnel to successfully grow our business</w:t>
      </w:r>
      <w:r>
        <w:rPr>
          <w:rFonts w:ascii="Times New Roman" w:hAnsi="Times New Roman"/>
          <w:i/>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success will depend, in part, on our ability to attract and retain qualified engineering, operations, marketing, sales and executive personnel. Inability to attract and retain such personnel could adversely affect our business. Competition for engineering, operations, marketing, sales, and executive personnel is intense, particularly in the technology and Internet sectors and in the regions where we conduct our business. We may need to invest significant amounts of cash and equity to attract and retain employees and expend significant time and resources to identify, recruit, train and integrate such employees, and we may never realize returns on these investments. Additionally, we can provide no assurance that we will attract or retain such personnel.</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War, terrorism, other acts of violence, or natural or manmade disasters as well as macroeconomic conditions may affect the markets in which we operate, our clients and our service delivery.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may be adversely affected by instability, disruption, or destruction in a geographic region in which we operate, regardless of cause, including war, terrorism, riot, civil insurrection, or social unrest, and natural or manmade disasters, including famine, flood, fire, earthquake, storm, or pandemic events and spread of disease. Our business may also be adversely affected by further downturn in macroeconomic conditions, including inflation and rising interest rates, tariffs, trade wars, global political and economic uncertainty and tensions, such as the ongoing Russia-Ukraine and Middle East conflicts, as well as any related political or economic response, counter responses or otherwise, financial services sector instability, a reduction in business confidence and activity, financial market volatility, unexpected changes in tax law or policy, and other factors. Such events can adversely affect our operations or the economy as a whole and may cause our customers to delay their decisions on spending for the services we provide and perpetuate significant changes in regional and global economic conditions and cycles. These events may also pose risks to our personnel and to physical facilities and operations, which could adversely affect our financial results.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tax law could materially impact our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to U.S. federal, state, and local, and foreign tax laws that may be enacted in the future could impact the tax treatment of our business operations. Our effective tax rate could be adversely affected by several factors, many of which are outside of our control, including changes in the mix of earnings and losses in countries with differing statutory tax rates, changes in the valuation of deferred tax assets and liabilities, changes in tax laws, rates, treaties and regulations or the interpretation of the same, changes to the financial accounting rules for income taxes, the outcome of current and future tax audits, examinations or administrative appeals and certain non-deductible expenses. In addition, many jurisdictions, including the United States, are actively considering changes to existing tax laws or have proposed or enacted new laws, such as the recently enacted U.S. federal tax legislation commonly referred to as the One Big Beautiful Bill Act (OBBB Act), that could increase our tax obligations in countries where we do business or cause us to change the way we operate our business. We are currently evaluating the full impact of the OBBB Act on us. As of June 30, 2026, the OBBB Act has had no material income tax impact on our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Organization for Economic Cooperation and Development has proposed imposing a 15% global minimum tax under the Pillar Two Model Rules (Pillar Two), and this proposal has been adopted or is being considered by a number of countries, which could impact our business if we expand internationally.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Any of these developments or changes in U.S. federal, state or international tax laws or tax rulings could adversely affect our effective tax rate and our operating results. As of June 30, 2026, we are not yet subject to Pillar Two due to the level of gross receipts.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Trading in our common stock is limited, and the price of our common shares may be subject to volatility.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common stock is currently listed on the Nasdaq Stock Market LLC (Nasdaq) and was previously listed on NYSE and NYSE American LLC (formerly the NYSE MKT LLC). Over the past year, the market price of our common stock has experienced significant fluctuations. Between July 1, 2025, and June 30, 2026, the adjusted closing price for our common stock ranged between $11.37 and $24.84. The price of our common stock may continue to be volatile as a result of several factors, some of which are beyond our control. These factors include, but are not limited to,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b6918a772ce345a8addbb8ad1eaf6e7a"/>
      <w:bookmarkStart w:id="108" w:name="zb6918a772ce345a8addbb8ad1eaf6e7a"/>
      <w:bookmarkEnd w:id="108"/>
    </w:p>
    <w:tbl>
      <w:tblPr>
        <w:tblW w:w="5515" w:type="dxa"/>
        <w:jc w:val="left"/>
        <w:tblInd w:w="0" w:type="dxa"/>
        <w:tblLayout w:type="fixed"/>
        <w:tblCellMar>
          <w:top w:w="0" w:type="dxa"/>
          <w:left w:w="0" w:type="dxa"/>
          <w:bottom w:w="0" w:type="dxa"/>
          <w:right w:w="0" w:type="dxa"/>
        </w:tblCellMar>
      </w:tblPr>
      <w:tblGrid>
        <w:gridCol w:w="155"/>
        <w:gridCol w:w="5360"/>
      </w:tblGrid>
      <w:tr>
        <w:trPr/>
        <w:tc>
          <w:tcPr>
            <w:tcW w:w="155" w:type="dxa"/>
            <w:tcBorders/>
            <w:vAlign w:val="center"/>
          </w:tcPr>
          <w:p>
            <w:pPr>
              <w:pStyle w:val="TableContents"/>
              <w:bidi w:val="0"/>
              <w:spacing w:before="0" w:after="283"/>
              <w:jc w:val="left"/>
              <w:rPr>
                <w:color w:val="000000"/>
              </w:rPr>
            </w:pPr>
            <w:r>
              <w:rPr>
                <w:color w:val="000000"/>
              </w:rPr>
              <w:t>•</w:t>
            </w:r>
          </w:p>
        </w:tc>
        <w:tc>
          <w:tcPr>
            <w:tcW w:w="5360" w:type="dxa"/>
            <w:tcBorders/>
            <w:vAlign w:val="center"/>
          </w:tcPr>
          <w:p>
            <w:pPr>
              <w:pStyle w:val="TableContents"/>
              <w:bidi w:val="0"/>
              <w:spacing w:before="0" w:after="0"/>
              <w:jc w:val="both"/>
              <w:rPr>
                <w:color w:val="000000"/>
              </w:rPr>
            </w:pPr>
            <w:r>
              <w:rPr>
                <w:color w:val="000000"/>
              </w:rPr>
              <w:t>variations, actual or anticipated, in our operating results;</w:t>
            </w:r>
          </w:p>
        </w:tc>
      </w:tr>
    </w:tbl>
    <w:p>
      <w:pPr>
        <w:pStyle w:val="Normal"/>
        <w:bidi w:val="0"/>
        <w:spacing w:before="0" w:after="0"/>
        <w:jc w:val="left"/>
        <w:rPr>
          <w:sz w:val="4"/>
          <w:szCs w:val="4"/>
        </w:rPr>
      </w:pPr>
      <w:r>
        <w:rPr>
          <w:sz w:val="4"/>
          <w:szCs w:val="4"/>
        </w:rPr>
      </w:r>
      <w:bookmarkStart w:id="109" w:name="zb0ad8d7482d24a718415002b1d520cc5"/>
      <w:bookmarkStart w:id="110" w:name="zb0ad8d7482d24a718415002b1d520cc5"/>
      <w:bookmarkEnd w:id="110"/>
    </w:p>
    <w:tbl>
      <w:tblPr>
        <w:tblW w:w="3985" w:type="dxa"/>
        <w:jc w:val="left"/>
        <w:tblInd w:w="0" w:type="dxa"/>
        <w:tblLayout w:type="fixed"/>
        <w:tblCellMar>
          <w:top w:w="0" w:type="dxa"/>
          <w:left w:w="0" w:type="dxa"/>
          <w:bottom w:w="0" w:type="dxa"/>
          <w:right w:w="0" w:type="dxa"/>
        </w:tblCellMar>
      </w:tblPr>
      <w:tblGrid>
        <w:gridCol w:w="155"/>
        <w:gridCol w:w="3830"/>
      </w:tblGrid>
      <w:tr>
        <w:trPr/>
        <w:tc>
          <w:tcPr>
            <w:tcW w:w="155" w:type="dxa"/>
            <w:tcBorders/>
            <w:vAlign w:val="center"/>
          </w:tcPr>
          <w:p>
            <w:pPr>
              <w:pStyle w:val="TableContents"/>
              <w:bidi w:val="0"/>
              <w:spacing w:before="0" w:after="283"/>
              <w:jc w:val="left"/>
              <w:rPr>
                <w:color w:val="000000"/>
              </w:rPr>
            </w:pPr>
            <w:r>
              <w:rPr>
                <w:color w:val="000000"/>
              </w:rPr>
              <w:t>•</w:t>
            </w:r>
          </w:p>
        </w:tc>
        <w:tc>
          <w:tcPr>
            <w:tcW w:w="3830" w:type="dxa"/>
            <w:tcBorders/>
            <w:vAlign w:val="center"/>
          </w:tcPr>
          <w:p>
            <w:pPr>
              <w:pStyle w:val="TableContents"/>
              <w:bidi w:val="0"/>
              <w:spacing w:before="0" w:after="0"/>
              <w:jc w:val="both"/>
              <w:rPr>
                <w:color w:val="000000"/>
              </w:rPr>
            </w:pPr>
            <w:r>
              <w:rPr>
                <w:color w:val="000000"/>
              </w:rPr>
              <w:t>significant changes in our management;</w:t>
            </w:r>
          </w:p>
        </w:tc>
      </w:tr>
    </w:tbl>
    <w:p>
      <w:pPr>
        <w:pStyle w:val="Normal"/>
        <w:bidi w:val="0"/>
        <w:spacing w:before="0" w:after="0"/>
        <w:jc w:val="left"/>
        <w:rPr>
          <w:sz w:val="4"/>
          <w:szCs w:val="4"/>
        </w:rPr>
      </w:pPr>
      <w:r>
        <w:rPr>
          <w:sz w:val="4"/>
          <w:szCs w:val="4"/>
        </w:rPr>
      </w:r>
      <w:bookmarkStart w:id="111" w:name="z31b9f9cb6c2c4c3a81a48af5c5150719"/>
      <w:bookmarkStart w:id="112" w:name="z31b9f9cb6c2c4c3a81a48af5c5150719"/>
      <w:bookmarkEnd w:id="112"/>
    </w:p>
    <w:tbl>
      <w:tblPr>
        <w:tblW w:w="8500" w:type="dxa"/>
        <w:jc w:val="left"/>
        <w:tblInd w:w="0" w:type="dxa"/>
        <w:tblLayout w:type="fixed"/>
        <w:tblCellMar>
          <w:top w:w="0" w:type="dxa"/>
          <w:left w:w="0" w:type="dxa"/>
          <w:bottom w:w="0" w:type="dxa"/>
          <w:right w:w="0" w:type="dxa"/>
        </w:tblCellMar>
      </w:tblPr>
      <w:tblGrid>
        <w:gridCol w:w="155"/>
        <w:gridCol w:w="8345"/>
      </w:tblGrid>
      <w:tr>
        <w:trPr/>
        <w:tc>
          <w:tcPr>
            <w:tcW w:w="155" w:type="dxa"/>
            <w:tcBorders/>
            <w:vAlign w:val="center"/>
          </w:tcPr>
          <w:p>
            <w:pPr>
              <w:pStyle w:val="TableContents"/>
              <w:bidi w:val="0"/>
              <w:spacing w:before="0" w:after="283"/>
              <w:jc w:val="left"/>
              <w:rPr>
                <w:color w:val="000000"/>
              </w:rPr>
            </w:pPr>
            <w:r>
              <w:rPr>
                <w:color w:val="000000"/>
              </w:rPr>
              <w:t>•</w:t>
            </w:r>
          </w:p>
        </w:tc>
        <w:tc>
          <w:tcPr>
            <w:tcW w:w="8345" w:type="dxa"/>
            <w:tcBorders/>
            <w:vAlign w:val="center"/>
          </w:tcPr>
          <w:p>
            <w:pPr>
              <w:pStyle w:val="TableContents"/>
              <w:bidi w:val="0"/>
              <w:spacing w:before="0" w:after="0"/>
              <w:jc w:val="both"/>
              <w:rPr>
                <w:color w:val="000000"/>
              </w:rPr>
            </w:pPr>
            <w:r>
              <w:rPr>
                <w:color w:val="000000"/>
              </w:rPr>
              <w:t>large purchases or sales of common stock or derivative transactions related to our stock;</w:t>
            </w:r>
          </w:p>
        </w:tc>
      </w:tr>
    </w:tbl>
    <w:p>
      <w:pPr>
        <w:pStyle w:val="Normal"/>
        <w:bidi w:val="0"/>
        <w:spacing w:before="0" w:after="0"/>
        <w:jc w:val="left"/>
        <w:rPr>
          <w:sz w:val="4"/>
          <w:szCs w:val="4"/>
        </w:rPr>
      </w:pPr>
      <w:r>
        <w:rPr>
          <w:sz w:val="4"/>
          <w:szCs w:val="4"/>
        </w:rPr>
      </w:r>
      <w:bookmarkStart w:id="113" w:name="new_id-0"/>
      <w:bookmarkStart w:id="114" w:name="new_id-0"/>
      <w:bookmarkEnd w:id="114"/>
    </w:p>
    <w:tbl>
      <w:tblPr>
        <w:tblW w:w="8425" w:type="dxa"/>
        <w:jc w:val="left"/>
        <w:tblInd w:w="0" w:type="dxa"/>
        <w:tblLayout w:type="fixed"/>
        <w:tblCellMar>
          <w:top w:w="0" w:type="dxa"/>
          <w:left w:w="0" w:type="dxa"/>
          <w:bottom w:w="0" w:type="dxa"/>
          <w:right w:w="0" w:type="dxa"/>
        </w:tblCellMar>
      </w:tblPr>
      <w:tblGrid>
        <w:gridCol w:w="215"/>
        <w:gridCol w:w="8210"/>
      </w:tblGrid>
      <w:tr>
        <w:trPr/>
        <w:tc>
          <w:tcPr>
            <w:tcW w:w="215" w:type="dxa"/>
            <w:tcBorders/>
            <w:vAlign w:val="center"/>
          </w:tcPr>
          <w:p>
            <w:pPr>
              <w:pStyle w:val="TableContents"/>
              <w:bidi w:val="0"/>
              <w:spacing w:before="0" w:after="283"/>
              <w:jc w:val="left"/>
              <w:rPr>
                <w:color w:val="000000"/>
              </w:rPr>
            </w:pPr>
            <w:r>
              <w:rPr>
                <w:color w:val="000000"/>
              </w:rPr>
              <w:t xml:space="preserve">• </w:t>
            </w:r>
          </w:p>
        </w:tc>
        <w:tc>
          <w:tcPr>
            <w:tcW w:w="8210" w:type="dxa"/>
            <w:tcBorders/>
            <w:vAlign w:val="center"/>
          </w:tcPr>
          <w:p>
            <w:pPr>
              <w:pStyle w:val="TableContents"/>
              <w:bidi w:val="0"/>
              <w:spacing w:before="0" w:after="283"/>
              <w:jc w:val="left"/>
              <w:rPr/>
            </w:pPr>
            <w:r>
              <w:rPr/>
              <w:t>actual or anticipated announcements of new products or services by us or competitors;</w:t>
            </w:r>
          </w:p>
        </w:tc>
      </w:tr>
    </w:tbl>
    <w:p>
      <w:pPr>
        <w:pStyle w:val="Normal"/>
        <w:bidi w:val="0"/>
        <w:spacing w:before="0" w:after="0"/>
        <w:jc w:val="left"/>
        <w:rPr>
          <w:sz w:val="4"/>
          <w:szCs w:val="4"/>
        </w:rPr>
      </w:pPr>
      <w:r>
        <w:rPr>
          <w:sz w:val="4"/>
          <w:szCs w:val="4"/>
        </w:rPr>
      </w:r>
      <w:bookmarkStart w:id="115" w:name="z8a6fa0d7ca614fc0b016c041cc50d476"/>
      <w:bookmarkStart w:id="116" w:name="z8a6fa0d7ca614fc0b016c041cc50d476"/>
      <w:bookmarkEnd w:id="116"/>
    </w:p>
    <w:tbl>
      <w:tblPr>
        <w:tblW w:w="5905" w:type="dxa"/>
        <w:jc w:val="left"/>
        <w:tblInd w:w="0" w:type="dxa"/>
        <w:tblLayout w:type="fixed"/>
        <w:tblCellMar>
          <w:top w:w="0" w:type="dxa"/>
          <w:left w:w="0" w:type="dxa"/>
          <w:bottom w:w="0" w:type="dxa"/>
          <w:right w:w="0" w:type="dxa"/>
        </w:tblCellMar>
      </w:tblPr>
      <w:tblGrid>
        <w:gridCol w:w="155"/>
        <w:gridCol w:w="5750"/>
      </w:tblGrid>
      <w:tr>
        <w:trPr/>
        <w:tc>
          <w:tcPr>
            <w:tcW w:w="155" w:type="dxa"/>
            <w:tcBorders/>
            <w:vAlign w:val="center"/>
          </w:tcPr>
          <w:p>
            <w:pPr>
              <w:pStyle w:val="TableContents"/>
              <w:bidi w:val="0"/>
              <w:spacing w:before="0" w:after="283"/>
              <w:jc w:val="left"/>
              <w:rPr>
                <w:color w:val="000000"/>
              </w:rPr>
            </w:pPr>
            <w:r>
              <w:rPr>
                <w:color w:val="000000"/>
              </w:rPr>
              <w:t>•</w:t>
            </w:r>
          </w:p>
        </w:tc>
        <w:tc>
          <w:tcPr>
            <w:tcW w:w="5750" w:type="dxa"/>
            <w:tcBorders/>
            <w:vAlign w:val="center"/>
          </w:tcPr>
          <w:p>
            <w:pPr>
              <w:pStyle w:val="TableContents"/>
              <w:bidi w:val="0"/>
              <w:spacing w:before="0" w:after="0"/>
              <w:jc w:val="both"/>
              <w:rPr>
                <w:color w:val="000000"/>
              </w:rPr>
            </w:pPr>
            <w:r>
              <w:rPr>
                <w:color w:val="000000"/>
              </w:rPr>
              <w:t>general conditions in the markets in which we compete; and</w:t>
            </w:r>
          </w:p>
        </w:tc>
      </w:tr>
    </w:tbl>
    <w:p>
      <w:pPr>
        <w:pStyle w:val="Normal"/>
        <w:bidi w:val="0"/>
        <w:spacing w:before="0" w:after="0"/>
        <w:jc w:val="left"/>
        <w:rPr>
          <w:sz w:val="4"/>
          <w:szCs w:val="4"/>
        </w:rPr>
      </w:pPr>
      <w:r>
        <w:rPr>
          <w:sz w:val="4"/>
          <w:szCs w:val="4"/>
        </w:rPr>
      </w:r>
      <w:bookmarkStart w:id="117" w:name="za42cdeaa11654f4f9fe91271bf26e5c9"/>
      <w:bookmarkStart w:id="118" w:name="za42cdeaa11654f4f9fe91271bf26e5c9"/>
      <w:bookmarkEnd w:id="118"/>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general social, political, economic, and financial conditions, including significant volatility in the global financial markets.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we believe there has been and may continue to be substantial trading in derivatives of our stock, including short selling activity or related similar activities, which are beyond our control, and which may be beyond the full control of the SEC and Financial Institutions Regulatory Authority (FINRA). While the SEC and FINRA rules prohibit some forms of short selling and other activities that may result in stock price manipulation, such activity may nonetheless occur without detection or enforcement. We have held conversations with regulators concerning trading activity in our stock; however, there can be no assurance that should there be any illegal manipulation in the trading of our stock, it will be detected, prosecuted, or successfully eradicated. Significant short-selling market manipulation could cause our stock trading price to decline, to become more volatile, or both. For more information regarding trading in our common stock and listing on the Nasdaq, see additional risk factors included elsewhere in this Quarterly Report on Form 10-Q.</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have broad discretion in how we apply our funds, and we may not use these funds effectively, which could affect our results of operations and cause our stock price to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management has broad discretion in the application of our existing cash, cash equivalents and investments and could spend these funds in ways that do not improve our results of operations or enhance the value of our common stock. Pending their use, we may invest our available funds in a manner that does not produce income or that loses value. The failure by our management to apply our available funds effectively could result in financial losses that could cause the price of our common stock to decline and delay the development of our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an entity that, among other things, is or holds itself out as being engaged primarily, or proposes to engage primarily, in the business of investing, reinvesting, owning, trading, or holding certain types of securities would be deemed an Investment Company under the Investment Company Act of 1940 (1940 Act). If we do not manage our investments and business in a manner that meets the requirements for an exemption under the 1940 Act, we may be deemed to be an investment company under the 1940 Act and subject to additional limitations on operating our business including limitations on the issuance of securities, which may make it difficult for us to raise capital.</w:t>
      </w:r>
    </w:p>
    <w:p>
      <w:pPr>
        <w:pStyle w:val="TextBody"/>
        <w:bidi w:val="0"/>
        <w:spacing w:before="0" w:after="0"/>
        <w:jc w:val="left"/>
        <w:rPr/>
      </w:pPr>
      <w:r>
        <w:rPr/>
      </w:r>
    </w:p>
    <w:p>
      <w:pPr>
        <w:pStyle w:val="TextBody"/>
        <w:bidi w:val="0"/>
        <w:spacing w:before="0" w:after="0"/>
        <w:ind w:left="72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ITEM 5</w:t>
      </w:r>
      <w:bookmarkStart w:id="119" w:name="ITEM5"/>
      <w:bookmarkEnd w:id="119"/>
      <w:r>
        <w:rPr>
          <w:rFonts w:ascii="Times New Roman" w:hAnsi="Times New Roman"/>
          <w:b/>
          <w:color w:val="000000"/>
          <w:sz w:val="20"/>
          <w:shd w:fill="FFFFFF" w:val="clear"/>
        </w:rPr>
        <w:t xml:space="preserve"> — OTHER INFORMATION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During our last fiscal quarter, the following directors and officers, as defined in Rule 16a-1(f), adopted a “Rule 10b5-1 trading arrangement” as defined in Regulation S-K Item 408, as follows:</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On May 29, 2026, Kendall Larsen, our Chief Executive Officer, adopted a Rule 10b5-1 trading arrangement providing for the sale from time to time of an aggregate of 35,000 shares of our common stock, excluding any shares withheld by the Company to satisfy income tax withholding and remittance obligations. The trading arrangement is intended to satisfy the affirmative defense in Rule 10b5-1(c). The duration of the trading arrangement is until December 30, 2026, or earlier if all transactions under the trading arrangement are completed.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On May 29, 2026, Gary Feiner, a member of our board of directors, adopted a Rule 10b5-1 trading arrangement providing for the sale from time to time of an aggregate of 7,500 shares of our common stock. The trading arrangement is intended to satisfy the affirmative defense in Rule 10b5-1(c). The duration of the trading arrangement is until December 30, 2026, or earlier if all transactions under the trading arrangement are completed.</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On May 20, 2026, Michael F. Angelo, a member of our board of directors, adopted a Rule 10b5-1 trading arrangement providing for the sale from time to time of an aggregate of 5,000 shares of our common stock. The trading arrangement is intended to satisfy the affirmative defense in Rule 10b5-1(c). The duration of the trading arrangement is until August 1, 2027, or earlier if all transactions under the trading arrangement are completed.</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No other officers or directors, as defined in Rule 16a-1(f), adopted or terminated a “Rule 10b5-1 trading arrangement” as defined in Regulation S-K Item 408, during the last fiscal quarter.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ITEM 6</w:t>
      </w:r>
      <w:bookmarkStart w:id="120" w:name="ITEM6"/>
      <w:bookmarkEnd w:id="120"/>
      <w:r>
        <w:rPr>
          <w:rFonts w:ascii="Times New Roman" w:hAnsi="Times New Roman"/>
          <w:b/>
          <w:color w:val="000000"/>
          <w:sz w:val="20"/>
          <w:shd w:fill="FFFFFF" w:val="clear"/>
        </w:rPr>
        <w:t xml:space="preserve"> — 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1" w:name="zfbdc9c768f0445d39295372bf0f32d9d"/>
      <w:bookmarkStart w:id="122" w:name="zfbdc9c768f0445d39295372bf0f32d9d"/>
      <w:bookmarkEnd w:id="122"/>
    </w:p>
    <w:tbl>
      <w:tblPr>
        <w:tblW w:w="10205" w:type="dxa"/>
        <w:jc w:val="left"/>
        <w:tblInd w:w="0" w:type="dxa"/>
        <w:tblLayout w:type="fixed"/>
        <w:tblCellMar>
          <w:top w:w="0" w:type="dxa"/>
          <w:left w:w="0" w:type="dxa"/>
          <w:bottom w:w="0" w:type="dxa"/>
          <w:right w:w="0" w:type="dxa"/>
        </w:tblCellMar>
      </w:tblPr>
      <w:tblGrid>
        <w:gridCol w:w="918"/>
        <w:gridCol w:w="5286"/>
        <w:gridCol w:w="620"/>
        <w:gridCol w:w="800"/>
        <w:gridCol w:w="806"/>
        <w:gridCol w:w="749"/>
        <w:gridCol w:w="1026"/>
      </w:tblGrid>
      <w:tr>
        <w:trPr/>
        <w:tc>
          <w:tcPr>
            <w:tcW w:w="918" w:type="dxa"/>
            <w:tcBorders/>
            <w:vAlign w:val="center"/>
          </w:tcPr>
          <w:p>
            <w:pPr>
              <w:pStyle w:val="TableContents"/>
              <w:bidi w:val="0"/>
              <w:spacing w:before="0" w:after="283"/>
              <w:jc w:val="left"/>
              <w:rPr/>
            </w:pPr>
            <w:r>
              <w:rPr/>
              <w:t> </w:t>
            </w:r>
          </w:p>
        </w:tc>
        <w:tc>
          <w:tcPr>
            <w:tcW w:w="5286" w:type="dxa"/>
            <w:tcBorders/>
            <w:vAlign w:val="center"/>
          </w:tcPr>
          <w:p>
            <w:pPr>
              <w:pStyle w:val="TableContents"/>
              <w:bidi w:val="0"/>
              <w:spacing w:before="0" w:after="283"/>
              <w:jc w:val="left"/>
              <w:rPr/>
            </w:pPr>
            <w:r>
              <w:rPr/>
              <w:t> </w:t>
            </w:r>
          </w:p>
        </w:tc>
        <w:tc>
          <w:tcPr>
            <w:tcW w:w="2975" w:type="dxa"/>
            <w:gridSpan w:val="4"/>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Incorporated by reference herein</w:t>
            </w:r>
          </w:p>
        </w:tc>
        <w:tc>
          <w:tcPr>
            <w:tcW w:w="1026" w:type="dxa"/>
            <w:tcBorders/>
            <w:vAlign w:val="center"/>
          </w:tcPr>
          <w:p>
            <w:pPr>
              <w:pStyle w:val="TableContents"/>
              <w:bidi w:val="0"/>
              <w:spacing w:before="0" w:after="283"/>
              <w:jc w:val="left"/>
              <w:rPr/>
            </w:pPr>
            <w:r>
              <w:rPr/>
              <w:t> </w:t>
            </w:r>
          </w:p>
        </w:tc>
      </w:tr>
      <w:tr>
        <w:trPr/>
        <w:tc>
          <w:tcPr>
            <w:tcW w:w="918" w:type="dxa"/>
            <w:tcBorders>
              <w:bottom w:val="single" w:sz="12" w:space="0" w:color="000000"/>
            </w:tcBorders>
            <w:tcMar>
              <w:bottom w:w="28" w:type="dxa"/>
            </w:tcMar>
            <w:vAlign w:val="center"/>
          </w:tcPr>
          <w:p>
            <w:pPr>
              <w:pStyle w:val="TableContents"/>
              <w:bidi w:val="0"/>
              <w:spacing w:before="0" w:after="0"/>
              <w:jc w:val="left"/>
              <w:rPr>
                <w:b/>
                <w:color w:val="000000"/>
              </w:rPr>
            </w:pPr>
            <w:r>
              <w:rPr>
                <w:b/>
                <w:color w:val="000000"/>
              </w:rPr>
              <w:t>Exhibit</w:t>
            </w:r>
          </w:p>
          <w:p>
            <w:pPr>
              <w:pStyle w:val="TableContents"/>
              <w:bidi w:val="0"/>
              <w:spacing w:before="0" w:after="0"/>
              <w:jc w:val="left"/>
              <w:rPr>
                <w:b/>
                <w:color w:val="000000"/>
              </w:rPr>
            </w:pPr>
            <w:r>
              <w:rPr>
                <w:b/>
                <w:color w:val="000000"/>
              </w:rPr>
              <w:t>Number</w:t>
            </w:r>
          </w:p>
        </w:tc>
        <w:tc>
          <w:tcPr>
            <w:tcW w:w="5286"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Description</w:t>
            </w:r>
          </w:p>
        </w:tc>
        <w:tc>
          <w:tcPr>
            <w:tcW w:w="62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Form</w:t>
            </w:r>
          </w:p>
        </w:tc>
        <w:tc>
          <w:tcPr>
            <w:tcW w:w="80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No.</w:t>
            </w:r>
          </w:p>
        </w:tc>
        <w:tc>
          <w:tcPr>
            <w:tcW w:w="806"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Filing</w:t>
            </w:r>
          </w:p>
          <w:p>
            <w:pPr>
              <w:pStyle w:val="TableContents"/>
              <w:bidi w:val="0"/>
              <w:spacing w:before="0" w:after="0"/>
              <w:jc w:val="center"/>
              <w:rPr>
                <w:b/>
                <w:color w:val="000000"/>
              </w:rPr>
            </w:pPr>
            <w:r>
              <w:rPr>
                <w:b/>
                <w:color w:val="000000"/>
              </w:rPr>
              <w:t>Date</w:t>
            </w:r>
          </w:p>
        </w:tc>
        <w:tc>
          <w:tcPr>
            <w:tcW w:w="749"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File No.</w:t>
            </w:r>
          </w:p>
        </w:tc>
        <w:tc>
          <w:tcPr>
            <w:tcW w:w="1026"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Filed</w:t>
            </w:r>
          </w:p>
          <w:p>
            <w:pPr>
              <w:pStyle w:val="TableContents"/>
              <w:bidi w:val="0"/>
              <w:spacing w:before="0" w:after="0"/>
              <w:jc w:val="center"/>
              <w:rPr>
                <w:b/>
                <w:color w:val="000000"/>
              </w:rPr>
            </w:pPr>
            <w:r>
              <w:rPr>
                <w:b/>
                <w:color w:val="000000"/>
              </w:rPr>
              <w:t>Herewith</w:t>
            </w:r>
          </w:p>
        </w:tc>
      </w:tr>
      <w:tr>
        <w:trPr/>
        <w:tc>
          <w:tcPr>
            <w:tcW w:w="918" w:type="dxa"/>
            <w:tcBorders/>
            <w:vAlign w:val="center"/>
          </w:tcPr>
          <w:p>
            <w:pPr>
              <w:pStyle w:val="TableContents"/>
              <w:bidi w:val="0"/>
              <w:spacing w:before="0" w:after="0"/>
              <w:jc w:val="left"/>
              <w:rPr/>
            </w:pPr>
            <w:r>
              <w:rPr/>
              <w:t>10.1*</w:t>
            </w:r>
          </w:p>
        </w:tc>
        <w:tc>
          <w:tcPr>
            <w:tcW w:w="5286" w:type="dxa"/>
            <w:tcBorders/>
            <w:vAlign w:val="center"/>
          </w:tcPr>
          <w:p>
            <w:pPr>
              <w:pStyle w:val="TableContents"/>
              <w:bidi w:val="0"/>
              <w:spacing w:before="0" w:after="0"/>
              <w:jc w:val="left"/>
              <w:rPr/>
            </w:pPr>
            <w:hyperlink r:id="rId3">
              <w:r>
                <w:rPr>
                  <w:rStyle w:val="InternetLink"/>
                </w:rPr>
                <w:t>Amended and Restated 2013 Equity Incentive Plan, as amended.</w:t>
              </w:r>
            </w:hyperlink>
          </w:p>
        </w:tc>
        <w:tc>
          <w:tcPr>
            <w:tcW w:w="620" w:type="dxa"/>
            <w:tcBorders/>
            <w:vAlign w:val="center"/>
          </w:tcPr>
          <w:p>
            <w:pPr>
              <w:pStyle w:val="TableContents"/>
              <w:bidi w:val="0"/>
              <w:spacing w:before="0" w:after="0"/>
              <w:jc w:val="left"/>
              <w:rPr>
                <w:color w:val="000000"/>
              </w:rPr>
            </w:pPr>
            <w:r>
              <w:rPr>
                <w:color w:val="000000"/>
              </w:rPr>
              <w:t>8-K</w:t>
            </w:r>
          </w:p>
        </w:tc>
        <w:tc>
          <w:tcPr>
            <w:tcW w:w="800" w:type="dxa"/>
            <w:tcBorders/>
            <w:vAlign w:val="center"/>
          </w:tcPr>
          <w:p>
            <w:pPr>
              <w:pStyle w:val="TableContents"/>
              <w:bidi w:val="0"/>
              <w:spacing w:before="0" w:after="0"/>
              <w:jc w:val="left"/>
              <w:rPr>
                <w:color w:val="000000"/>
              </w:rPr>
            </w:pPr>
            <w:r>
              <w:rPr>
                <w:color w:val="000000"/>
              </w:rPr>
              <w:t>10.1</w:t>
            </w:r>
          </w:p>
        </w:tc>
        <w:tc>
          <w:tcPr>
            <w:tcW w:w="806" w:type="dxa"/>
            <w:tcBorders/>
            <w:vAlign w:val="center"/>
          </w:tcPr>
          <w:p>
            <w:pPr>
              <w:pStyle w:val="TableContents"/>
              <w:bidi w:val="0"/>
              <w:spacing w:before="0" w:after="0"/>
              <w:jc w:val="left"/>
              <w:rPr>
                <w:color w:val="000000"/>
              </w:rPr>
            </w:pPr>
            <w:r>
              <w:rPr>
                <w:color w:val="000000"/>
              </w:rPr>
              <w:t>June 16, 2026</w:t>
            </w:r>
          </w:p>
        </w:tc>
        <w:tc>
          <w:tcPr>
            <w:tcW w:w="749" w:type="dxa"/>
            <w:tcBorders/>
            <w:vAlign w:val="center"/>
          </w:tcPr>
          <w:p>
            <w:pPr>
              <w:pStyle w:val="TableContents"/>
              <w:bidi w:val="0"/>
              <w:spacing w:before="0" w:after="0"/>
              <w:jc w:val="left"/>
              <w:rPr>
                <w:color w:val="000000"/>
              </w:rPr>
            </w:pPr>
            <w:r>
              <w:rPr>
                <w:color w:val="000000"/>
              </w:rPr>
              <w:t>001-33852</w:t>
            </w:r>
          </w:p>
        </w:tc>
        <w:tc>
          <w:tcPr>
            <w:tcW w:w="1026" w:type="dxa"/>
            <w:tcBorders/>
            <w:vAlign w:val="center"/>
          </w:tcPr>
          <w:p>
            <w:pPr>
              <w:pStyle w:val="TableContents"/>
              <w:bidi w:val="0"/>
              <w:spacing w:before="0" w:after="283"/>
              <w:jc w:val="left"/>
              <w:rPr/>
            </w:pPr>
            <w:r>
              <w:rPr/>
              <w:t> </w:t>
            </w:r>
          </w:p>
        </w:tc>
      </w:tr>
      <w:tr>
        <w:trPr/>
        <w:tc>
          <w:tcPr>
            <w:tcW w:w="918" w:type="dxa"/>
            <w:tcBorders/>
            <w:shd w:fill="CCEEFF" w:val="clear"/>
            <w:vAlign w:val="center"/>
          </w:tcPr>
          <w:p>
            <w:pPr>
              <w:pStyle w:val="TableContents"/>
              <w:bidi w:val="0"/>
              <w:spacing w:before="0" w:after="0"/>
              <w:jc w:val="left"/>
              <w:rPr/>
            </w:pPr>
            <w:r>
              <w:rPr/>
              <w:t>31.1</w:t>
            </w:r>
          </w:p>
        </w:tc>
        <w:tc>
          <w:tcPr>
            <w:tcW w:w="5286" w:type="dxa"/>
            <w:tcBorders/>
            <w:shd w:fill="CCEEFF" w:val="clear"/>
            <w:vAlign w:val="center"/>
          </w:tcPr>
          <w:p>
            <w:pPr>
              <w:pStyle w:val="TableContents"/>
              <w:bidi w:val="0"/>
              <w:spacing w:before="0" w:after="0"/>
              <w:jc w:val="left"/>
              <w:rPr/>
            </w:pPr>
            <w:hyperlink w:anchor="ef20075471_ex31-1.htm">
              <w:r>
                <w:rPr>
                  <w:rStyle w:val="InternetLink"/>
                  <w:color w:val="000000"/>
                </w:rPr>
                <w:t>Certification of the President and Chief Executive Officer, pursuant to Exchange Act Rules 13a-14(a) and 15d-14(a), as adopted pursuant to Section 302 of the Sarbanes-Oxley Act of 2002.</w:t>
              </w:r>
            </w:hyperlink>
          </w:p>
        </w:tc>
        <w:tc>
          <w:tcPr>
            <w:tcW w:w="6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0"/>
              <w:jc w:val="left"/>
              <w:rPr/>
            </w:pPr>
            <w:r>
              <w:rPr/>
              <w:t>31.2</w:t>
            </w:r>
          </w:p>
        </w:tc>
        <w:tc>
          <w:tcPr>
            <w:tcW w:w="5286" w:type="dxa"/>
            <w:tcBorders/>
            <w:vAlign w:val="center"/>
          </w:tcPr>
          <w:p>
            <w:pPr>
              <w:pStyle w:val="TableContents"/>
              <w:bidi w:val="0"/>
              <w:spacing w:before="0" w:after="0"/>
              <w:jc w:val="left"/>
              <w:rPr/>
            </w:pPr>
            <w:hyperlink w:anchor="ef20075471_ex31-2.htm">
              <w:r>
                <w:rPr>
                  <w:rStyle w:val="InternetLink"/>
                  <w:color w:val="000000"/>
                </w:rPr>
                <w:t>Certification of the Chief Financial Officer, pursuant to Exchange Act Rules 13a-14(a) and 15d-14(a), as adopted pursuant to Section 302 of the Sarbanes-Oxley Act of 2002.</w:t>
              </w:r>
            </w:hyperlink>
          </w:p>
        </w:tc>
        <w:tc>
          <w:tcPr>
            <w:tcW w:w="6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r>
      <w:tr>
        <w:trPr/>
        <w:tc>
          <w:tcPr>
            <w:tcW w:w="918" w:type="dxa"/>
            <w:tcBorders/>
            <w:shd w:fill="CCEEFF" w:val="clear"/>
            <w:vAlign w:val="center"/>
          </w:tcPr>
          <w:p>
            <w:pPr>
              <w:pStyle w:val="TableContents"/>
              <w:bidi w:val="0"/>
              <w:spacing w:before="0" w:after="0"/>
              <w:jc w:val="left"/>
              <w:rPr/>
            </w:pPr>
            <w:r>
              <w:rPr/>
              <w:t>32.1**</w:t>
            </w:r>
          </w:p>
        </w:tc>
        <w:tc>
          <w:tcPr>
            <w:tcW w:w="5286" w:type="dxa"/>
            <w:tcBorders/>
            <w:shd w:fill="CCEEFF" w:val="clear"/>
            <w:vAlign w:val="center"/>
          </w:tcPr>
          <w:p>
            <w:pPr>
              <w:pStyle w:val="TableContents"/>
              <w:bidi w:val="0"/>
              <w:spacing w:before="0" w:after="0"/>
              <w:jc w:val="left"/>
              <w:rPr/>
            </w:pPr>
            <w:hyperlink w:anchor="ef20075471_ex32-1.htm">
              <w:r>
                <w:rPr>
                  <w:rStyle w:val="InternetLink"/>
                  <w:color w:val="000000"/>
                </w:rPr>
                <w:t>Certification of the President and Chief Executive Officer pursuant to 18 U.S.C. Section 1350, as adopted pursuant to Section 906 of the Sarbanes-Oxley Act of 2002.</w:t>
              </w:r>
            </w:hyperlink>
          </w:p>
        </w:tc>
        <w:tc>
          <w:tcPr>
            <w:tcW w:w="6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0"/>
              <w:jc w:val="left"/>
              <w:rPr/>
            </w:pPr>
            <w:r>
              <w:rPr/>
              <w:t>32.2**</w:t>
            </w:r>
          </w:p>
        </w:tc>
        <w:tc>
          <w:tcPr>
            <w:tcW w:w="5286" w:type="dxa"/>
            <w:tcBorders/>
            <w:vAlign w:val="center"/>
          </w:tcPr>
          <w:p>
            <w:pPr>
              <w:pStyle w:val="TableContents"/>
              <w:bidi w:val="0"/>
              <w:spacing w:before="0" w:after="0"/>
              <w:jc w:val="left"/>
              <w:rPr/>
            </w:pPr>
            <w:hyperlink w:anchor="ef20075471_ex32-2.htm">
              <w:r>
                <w:rPr>
                  <w:rStyle w:val="InternetLink"/>
                  <w:color w:val="000000"/>
                </w:rPr>
                <w:t>Certification of the Chief Financial Officer pursuant to 18 U.S.C. Section 1350, as adopted pursuant to Section 906 of the Sarbanes-Oxley Act of 2002.</w:t>
              </w:r>
            </w:hyperlink>
          </w:p>
        </w:tc>
        <w:tc>
          <w:tcPr>
            <w:tcW w:w="6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r>
      <w:tr>
        <w:trPr/>
        <w:tc>
          <w:tcPr>
            <w:tcW w:w="918" w:type="dxa"/>
            <w:tcBorders/>
            <w:shd w:fill="CCEEFF" w:val="clear"/>
            <w:vAlign w:val="center"/>
          </w:tcPr>
          <w:p>
            <w:pPr>
              <w:pStyle w:val="TableContents"/>
              <w:bidi w:val="0"/>
              <w:spacing w:before="0" w:after="0"/>
              <w:jc w:val="left"/>
              <w:rPr>
                <w:color w:val="000000"/>
              </w:rPr>
            </w:pPr>
            <w:r>
              <w:rPr>
                <w:color w:val="000000"/>
              </w:rPr>
              <w:t>101.INS</w:t>
            </w:r>
          </w:p>
        </w:tc>
        <w:tc>
          <w:tcPr>
            <w:tcW w:w="5286" w:type="dxa"/>
            <w:tcBorders/>
            <w:shd w:fill="CCEEFF" w:val="clear"/>
            <w:vAlign w:val="center"/>
          </w:tcPr>
          <w:p>
            <w:pPr>
              <w:pStyle w:val="TableContents"/>
              <w:bidi w:val="0"/>
              <w:spacing w:before="0" w:after="0"/>
              <w:jc w:val="left"/>
              <w:rPr>
                <w:color w:val="000000"/>
              </w:rPr>
            </w:pPr>
            <w:r>
              <w:rPr>
                <w:color w:val="000000"/>
              </w:rPr>
              <w:t>Inline XBRL Instance Document.</w:t>
            </w:r>
          </w:p>
        </w:tc>
        <w:tc>
          <w:tcPr>
            <w:tcW w:w="6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0"/>
              <w:jc w:val="center"/>
              <w:rPr>
                <w:color w:val="000000"/>
              </w:rPr>
            </w:pPr>
            <w:r>
              <w:rPr>
                <w:color w:val="000000"/>
              </w:rPr>
              <w:t>x</w:t>
            </w:r>
          </w:p>
        </w:tc>
      </w:tr>
      <w:tr>
        <w:trPr/>
        <w:tc>
          <w:tcPr>
            <w:tcW w:w="918" w:type="dxa"/>
            <w:tcBorders/>
            <w:vAlign w:val="center"/>
          </w:tcPr>
          <w:p>
            <w:pPr>
              <w:pStyle w:val="TableContents"/>
              <w:bidi w:val="0"/>
              <w:spacing w:before="0" w:after="0"/>
              <w:jc w:val="left"/>
              <w:rPr>
                <w:color w:val="000000"/>
              </w:rPr>
            </w:pPr>
            <w:r>
              <w:rPr>
                <w:color w:val="000000"/>
              </w:rPr>
              <w:t>101.SCH</w:t>
            </w:r>
          </w:p>
        </w:tc>
        <w:tc>
          <w:tcPr>
            <w:tcW w:w="5286" w:type="dxa"/>
            <w:tcBorders/>
            <w:vAlign w:val="center"/>
          </w:tcPr>
          <w:p>
            <w:pPr>
              <w:pStyle w:val="TableContents"/>
              <w:bidi w:val="0"/>
              <w:spacing w:before="0" w:after="0"/>
              <w:jc w:val="left"/>
              <w:rPr>
                <w:color w:val="000000"/>
              </w:rPr>
            </w:pPr>
            <w:r>
              <w:rPr>
                <w:color w:val="000000"/>
              </w:rPr>
              <w:t>Inline XBRL Taxonomy Extension Schema Document.</w:t>
            </w:r>
          </w:p>
        </w:tc>
        <w:tc>
          <w:tcPr>
            <w:tcW w:w="6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0"/>
              <w:jc w:val="center"/>
              <w:rPr>
                <w:color w:val="000000"/>
              </w:rPr>
            </w:pPr>
            <w:r>
              <w:rPr>
                <w:color w:val="000000"/>
              </w:rPr>
              <w:t>x</w:t>
            </w:r>
          </w:p>
        </w:tc>
      </w:tr>
      <w:tr>
        <w:trPr/>
        <w:tc>
          <w:tcPr>
            <w:tcW w:w="918" w:type="dxa"/>
            <w:tcBorders/>
            <w:shd w:fill="CCEEFF" w:val="clear"/>
            <w:vAlign w:val="center"/>
          </w:tcPr>
          <w:p>
            <w:pPr>
              <w:pStyle w:val="TableContents"/>
              <w:bidi w:val="0"/>
              <w:spacing w:before="0" w:after="0"/>
              <w:jc w:val="left"/>
              <w:rPr>
                <w:color w:val="000000"/>
              </w:rPr>
            </w:pPr>
            <w:r>
              <w:rPr>
                <w:color w:val="000000"/>
              </w:rPr>
              <w:t>101.CAL</w:t>
            </w:r>
          </w:p>
        </w:tc>
        <w:tc>
          <w:tcPr>
            <w:tcW w:w="5286" w:type="dxa"/>
            <w:tcBorders/>
            <w:shd w:fill="CCEEFF" w:val="clear"/>
            <w:vAlign w:val="center"/>
          </w:tcPr>
          <w:p>
            <w:pPr>
              <w:pStyle w:val="TableContents"/>
              <w:bidi w:val="0"/>
              <w:spacing w:before="0" w:after="0"/>
              <w:jc w:val="left"/>
              <w:rPr>
                <w:color w:val="000000"/>
              </w:rPr>
            </w:pPr>
            <w:r>
              <w:rPr>
                <w:color w:val="000000"/>
              </w:rPr>
              <w:t>Inline XBRL Taxonomy Extension Calculation Linkbase Document.</w:t>
            </w:r>
          </w:p>
        </w:tc>
        <w:tc>
          <w:tcPr>
            <w:tcW w:w="6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0"/>
              <w:jc w:val="center"/>
              <w:rPr>
                <w:color w:val="000000"/>
              </w:rPr>
            </w:pPr>
            <w:r>
              <w:rPr>
                <w:color w:val="000000"/>
              </w:rPr>
              <w:t>x</w:t>
            </w:r>
          </w:p>
        </w:tc>
      </w:tr>
      <w:tr>
        <w:trPr/>
        <w:tc>
          <w:tcPr>
            <w:tcW w:w="918" w:type="dxa"/>
            <w:tcBorders/>
            <w:vAlign w:val="center"/>
          </w:tcPr>
          <w:p>
            <w:pPr>
              <w:pStyle w:val="TableContents"/>
              <w:bidi w:val="0"/>
              <w:spacing w:before="0" w:after="0"/>
              <w:jc w:val="left"/>
              <w:rPr>
                <w:color w:val="000000"/>
              </w:rPr>
            </w:pPr>
            <w:r>
              <w:rPr>
                <w:color w:val="000000"/>
              </w:rPr>
              <w:t>101.DEF</w:t>
            </w:r>
          </w:p>
        </w:tc>
        <w:tc>
          <w:tcPr>
            <w:tcW w:w="5286" w:type="dxa"/>
            <w:tcBorders/>
            <w:vAlign w:val="center"/>
          </w:tcPr>
          <w:p>
            <w:pPr>
              <w:pStyle w:val="TableContents"/>
              <w:bidi w:val="0"/>
              <w:spacing w:before="0" w:after="0"/>
              <w:jc w:val="left"/>
              <w:rPr>
                <w:color w:val="000000"/>
              </w:rPr>
            </w:pPr>
            <w:r>
              <w:rPr>
                <w:color w:val="000000"/>
              </w:rPr>
              <w:t>Inline XBRL Taxonomy Extension Definition Linkbase Document.</w:t>
            </w:r>
          </w:p>
        </w:tc>
        <w:tc>
          <w:tcPr>
            <w:tcW w:w="6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0"/>
              <w:jc w:val="center"/>
              <w:rPr>
                <w:color w:val="000000"/>
              </w:rPr>
            </w:pPr>
            <w:r>
              <w:rPr>
                <w:color w:val="000000"/>
              </w:rPr>
              <w:t>x</w:t>
            </w:r>
          </w:p>
        </w:tc>
      </w:tr>
      <w:tr>
        <w:trPr/>
        <w:tc>
          <w:tcPr>
            <w:tcW w:w="918" w:type="dxa"/>
            <w:tcBorders/>
            <w:shd w:fill="CCEEFF" w:val="clear"/>
            <w:vAlign w:val="center"/>
          </w:tcPr>
          <w:p>
            <w:pPr>
              <w:pStyle w:val="TableContents"/>
              <w:bidi w:val="0"/>
              <w:spacing w:before="0" w:after="0"/>
              <w:jc w:val="left"/>
              <w:rPr>
                <w:color w:val="000000"/>
              </w:rPr>
            </w:pPr>
            <w:r>
              <w:rPr>
                <w:color w:val="000000"/>
              </w:rPr>
              <w:t>101.LAB</w:t>
            </w:r>
          </w:p>
        </w:tc>
        <w:tc>
          <w:tcPr>
            <w:tcW w:w="5286" w:type="dxa"/>
            <w:tcBorders/>
            <w:shd w:fill="CCEEFF" w:val="clear"/>
            <w:vAlign w:val="center"/>
          </w:tcPr>
          <w:p>
            <w:pPr>
              <w:pStyle w:val="TableContents"/>
              <w:bidi w:val="0"/>
              <w:spacing w:before="0" w:after="0"/>
              <w:jc w:val="left"/>
              <w:rPr>
                <w:color w:val="000000"/>
              </w:rPr>
            </w:pPr>
            <w:r>
              <w:rPr>
                <w:color w:val="000000"/>
              </w:rPr>
              <w:t>Inline XBRL Taxonomy Extension Label Linkbase Document.</w:t>
            </w:r>
          </w:p>
        </w:tc>
        <w:tc>
          <w:tcPr>
            <w:tcW w:w="6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0"/>
              <w:jc w:val="center"/>
              <w:rPr>
                <w:color w:val="000000"/>
              </w:rPr>
            </w:pPr>
            <w:r>
              <w:rPr>
                <w:color w:val="000000"/>
              </w:rPr>
              <w:t>x</w:t>
            </w:r>
          </w:p>
        </w:tc>
      </w:tr>
      <w:tr>
        <w:trPr/>
        <w:tc>
          <w:tcPr>
            <w:tcW w:w="918" w:type="dxa"/>
            <w:tcBorders/>
            <w:vAlign w:val="center"/>
          </w:tcPr>
          <w:p>
            <w:pPr>
              <w:pStyle w:val="TableContents"/>
              <w:bidi w:val="0"/>
              <w:spacing w:before="0" w:after="0"/>
              <w:jc w:val="left"/>
              <w:rPr>
                <w:color w:val="000000"/>
              </w:rPr>
            </w:pPr>
            <w:r>
              <w:rPr>
                <w:color w:val="000000"/>
              </w:rPr>
              <w:t>101.PRE</w:t>
            </w:r>
          </w:p>
        </w:tc>
        <w:tc>
          <w:tcPr>
            <w:tcW w:w="5286" w:type="dxa"/>
            <w:tcBorders/>
            <w:vAlign w:val="center"/>
          </w:tcPr>
          <w:p>
            <w:pPr>
              <w:pStyle w:val="TableContents"/>
              <w:bidi w:val="0"/>
              <w:spacing w:before="0" w:after="0"/>
              <w:jc w:val="left"/>
              <w:rPr>
                <w:color w:val="000000"/>
              </w:rPr>
            </w:pPr>
            <w:r>
              <w:rPr>
                <w:color w:val="000000"/>
              </w:rPr>
              <w:t>Inline XBRL Taxonomy Extension Presentation Linkbase Document.</w:t>
            </w:r>
          </w:p>
        </w:tc>
        <w:tc>
          <w:tcPr>
            <w:tcW w:w="6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0"/>
              <w:jc w:val="center"/>
              <w:rPr>
                <w:color w:val="000000"/>
              </w:rPr>
            </w:pPr>
            <w:r>
              <w:rPr>
                <w:color w:val="000000"/>
              </w:rPr>
              <w:t>x</w:t>
            </w:r>
          </w:p>
        </w:tc>
      </w:tr>
      <w:tr>
        <w:trPr/>
        <w:tc>
          <w:tcPr>
            <w:tcW w:w="918" w:type="dxa"/>
            <w:tcBorders/>
            <w:shd w:fill="CCEEFF" w:val="clear"/>
            <w:vAlign w:val="center"/>
          </w:tcPr>
          <w:p>
            <w:pPr>
              <w:pStyle w:val="TableContents"/>
              <w:bidi w:val="0"/>
              <w:spacing w:before="0" w:after="0"/>
              <w:jc w:val="left"/>
              <w:rPr>
                <w:color w:val="000000"/>
              </w:rPr>
            </w:pPr>
            <w:r>
              <w:rPr>
                <w:color w:val="000000"/>
              </w:rPr>
              <w:t>104</w:t>
            </w:r>
          </w:p>
        </w:tc>
        <w:tc>
          <w:tcPr>
            <w:tcW w:w="5286" w:type="dxa"/>
            <w:tcBorders/>
            <w:shd w:fill="CCEEFF" w:val="cle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c>
          <w:tcPr>
            <w:tcW w:w="62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0"/>
              <w:jc w:val="center"/>
              <w:rPr>
                <w:color w:val="000000"/>
              </w:rPr>
            </w:pPr>
            <w:r>
              <w:rPr>
                <w:color w:val="000000"/>
              </w:rPr>
              <w:t>x</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123" w:name="zde23ec96f82a46febdadc88422937bf3"/>
      <w:bookmarkStart w:id="124" w:name="zde23ec96f82a46febdadc88422937bf3"/>
      <w:bookmarkEnd w:id="124"/>
    </w:p>
    <w:tbl>
      <w:tblPr>
        <w:tblW w:w="5350" w:type="dxa"/>
        <w:jc w:val="left"/>
        <w:tblInd w:w="0" w:type="dxa"/>
        <w:tblLayout w:type="fixed"/>
        <w:tblCellMar>
          <w:top w:w="0" w:type="dxa"/>
          <w:left w:w="0" w:type="dxa"/>
          <w:bottom w:w="0" w:type="dxa"/>
          <w:right w:w="0" w:type="dxa"/>
        </w:tblCellMar>
      </w:tblPr>
      <w:tblGrid>
        <w:gridCol w:w="185"/>
        <w:gridCol w:w="5165"/>
      </w:tblGrid>
      <w:tr>
        <w:trPr/>
        <w:tc>
          <w:tcPr>
            <w:tcW w:w="185" w:type="dxa"/>
            <w:tcBorders/>
            <w:vAlign w:val="center"/>
          </w:tcPr>
          <w:p>
            <w:pPr>
              <w:pStyle w:val="TableContents"/>
              <w:bidi w:val="0"/>
              <w:spacing w:before="0" w:after="283"/>
              <w:jc w:val="left"/>
              <w:rPr>
                <w:color w:val="000000"/>
              </w:rPr>
            </w:pPr>
            <w:r>
              <w:rPr>
                <w:color w:val="000000"/>
              </w:rPr>
              <w:t>*</w:t>
            </w:r>
          </w:p>
        </w:tc>
        <w:tc>
          <w:tcPr>
            <w:tcW w:w="5165" w:type="dxa"/>
            <w:tcBorders/>
            <w:vAlign w:val="center"/>
          </w:tcPr>
          <w:p>
            <w:pPr>
              <w:pStyle w:val="TableContents"/>
              <w:bidi w:val="0"/>
              <w:spacing w:before="0" w:after="0"/>
              <w:jc w:val="left"/>
              <w:rPr>
                <w:color w:val="000000"/>
              </w:rPr>
            </w:pPr>
            <w:r>
              <w:rPr>
                <w:color w:val="000000"/>
              </w:rPr>
              <w:t>Indicates management contract or compensatory plan.</w:t>
            </w:r>
          </w:p>
        </w:tc>
      </w:tr>
    </w:tbl>
    <w:p>
      <w:pPr>
        <w:pStyle w:val="Normal"/>
        <w:bidi w:val="0"/>
        <w:spacing w:before="0" w:after="0"/>
        <w:jc w:val="left"/>
        <w:rPr>
          <w:sz w:val="4"/>
          <w:szCs w:val="4"/>
        </w:rPr>
      </w:pPr>
      <w:r>
        <w:rPr>
          <w:sz w:val="4"/>
          <w:szCs w:val="4"/>
        </w:rPr>
      </w:r>
      <w:bookmarkStart w:id="125" w:name="za72342b645644ba1b24b729eaa1376d3"/>
      <w:bookmarkStart w:id="126" w:name="za72342b645644ba1b24b729eaa1376d3"/>
      <w:bookmarkEnd w:id="126"/>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color w:val="000000"/>
              </w:rPr>
            </w:pPr>
            <w:r>
              <w:rPr>
                <w:color w:val="000000"/>
              </w:rPr>
              <w:t>**</w:t>
            </w:r>
          </w:p>
        </w:tc>
        <w:tc>
          <w:tcPr>
            <w:tcW w:w="9991" w:type="dxa"/>
            <w:tcBorders/>
            <w:vAlign w:val="center"/>
          </w:tcPr>
          <w:p>
            <w:pPr>
              <w:pStyle w:val="TableContents"/>
              <w:bidi w:val="0"/>
              <w:spacing w:before="0" w:after="0"/>
              <w:jc w:val="left"/>
              <w:rPr>
                <w:color w:val="000000"/>
              </w:rPr>
            </w:pPr>
            <w:r>
              <w:rPr>
                <w:color w:val="000000"/>
              </w:rPr>
              <w:t>This exhibit is furnished herewith but not deemed “filed” for purposes of Section 18 of the Securities Exchange Act of 1934, as amended, or otherwise subject to liability under that section. Such certifications will not be deemed to be incorporated by reference in any filing under the Securities Act or the Exchange Act, except to the extent that we explicitly incorporate them by reference.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bookmarkStart w:id="127" w:name="SIGNATURES"/>
      <w:bookmarkEnd w:id="127"/>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df19cecc12184d72a77209de7255ee84"/>
      <w:bookmarkStart w:id="129" w:name="zdf19cecc12184d72a77209de7255ee84"/>
      <w:bookmarkEnd w:id="129"/>
    </w:p>
    <w:tbl>
      <w:tblPr>
        <w:tblW w:w="10205" w:type="dxa"/>
        <w:jc w:val="left"/>
        <w:tblInd w:w="0" w:type="dxa"/>
        <w:tblLayout w:type="fixed"/>
        <w:tblCellMar>
          <w:top w:w="0" w:type="dxa"/>
          <w:left w:w="0" w:type="dxa"/>
          <w:bottom w:w="0" w:type="dxa"/>
          <w:right w:w="0" w:type="dxa"/>
        </w:tblCellMar>
      </w:tblPr>
      <w:tblGrid>
        <w:gridCol w:w="1970"/>
        <w:gridCol w:w="386"/>
        <w:gridCol w:w="671"/>
        <w:gridCol w:w="7178"/>
      </w:tblGrid>
      <w:tr>
        <w:trPr/>
        <w:tc>
          <w:tcPr>
            <w:tcW w:w="1970" w:type="dxa"/>
            <w:tcBorders/>
            <w:vAlign w:val="center"/>
          </w:tcPr>
          <w:p>
            <w:pPr>
              <w:pStyle w:val="TableContents"/>
              <w:bidi w:val="0"/>
              <w:spacing w:before="0" w:after="283"/>
              <w:jc w:val="left"/>
              <w:rPr/>
            </w:pPr>
            <w:r>
              <w:rPr/>
              <w:t> </w:t>
            </w:r>
          </w:p>
        </w:tc>
        <w:tc>
          <w:tcPr>
            <w:tcW w:w="8235" w:type="dxa"/>
            <w:gridSpan w:val="3"/>
            <w:tcBorders/>
            <w:vAlign w:val="center"/>
          </w:tcPr>
          <w:p>
            <w:pPr>
              <w:pStyle w:val="TableContents"/>
              <w:bidi w:val="0"/>
              <w:spacing w:before="0" w:after="0"/>
              <w:jc w:val="both"/>
              <w:rPr>
                <w:color w:val="000000"/>
              </w:rPr>
            </w:pPr>
            <w:r>
              <w:rPr>
                <w:color w:val="000000"/>
              </w:rPr>
              <w:t>VIRNETX HOLDING CORPORATION</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7849"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0"/>
              <w:jc w:val="both"/>
              <w:rPr>
                <w:color w:val="000000"/>
              </w:rPr>
            </w:pPr>
            <w:r>
              <w:rPr>
                <w:color w:val="000000"/>
              </w:rPr>
              <w:t>By:</w:t>
            </w:r>
          </w:p>
        </w:tc>
        <w:tc>
          <w:tcPr>
            <w:tcW w:w="7849" w:type="dxa"/>
            <w:gridSpan w:val="2"/>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Kendall Larsen</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0"/>
              <w:jc w:val="both"/>
              <w:rPr>
                <w:color w:val="000000"/>
              </w:rPr>
            </w:pPr>
            <w:r>
              <w:rPr>
                <w:color w:val="000000"/>
              </w:rPr>
              <w:t>Name:</w:t>
            </w:r>
          </w:p>
        </w:tc>
        <w:tc>
          <w:tcPr>
            <w:tcW w:w="7178" w:type="dxa"/>
            <w:tcBorders/>
            <w:vAlign w:val="center"/>
          </w:tcPr>
          <w:p>
            <w:pPr>
              <w:pStyle w:val="TableContents"/>
              <w:bidi w:val="0"/>
              <w:spacing w:before="0" w:after="0"/>
              <w:jc w:val="both"/>
              <w:rPr>
                <w:color w:val="000000"/>
              </w:rPr>
            </w:pPr>
            <w:r>
              <w:rPr>
                <w:color w:val="000000"/>
              </w:rPr>
              <w:t>Kendall Larsen</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7178" w:type="dxa"/>
            <w:tcBorders/>
            <w:vAlign w:val="center"/>
          </w:tcPr>
          <w:p>
            <w:pPr>
              <w:pStyle w:val="TableContents"/>
              <w:bidi w:val="0"/>
              <w:spacing w:before="0" w:after="0"/>
              <w:jc w:val="both"/>
              <w:rPr>
                <w:color w:val="000000"/>
              </w:rPr>
            </w:pPr>
            <w:r>
              <w:rPr>
                <w:color w:val="000000"/>
              </w:rPr>
              <w:t>Chief Executive Officer (Principal Executive Officer)</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7849"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0"/>
              <w:jc w:val="both"/>
              <w:rPr>
                <w:color w:val="000000"/>
              </w:rPr>
            </w:pPr>
            <w:r>
              <w:rPr>
                <w:color w:val="000000"/>
              </w:rPr>
              <w:t>By:</w:t>
            </w:r>
          </w:p>
        </w:tc>
        <w:tc>
          <w:tcPr>
            <w:tcW w:w="7849" w:type="dxa"/>
            <w:gridSpan w:val="2"/>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Katherine Allanson</w:t>
            </w:r>
          </w:p>
        </w:tc>
      </w:tr>
      <w:tr>
        <w:trPr/>
        <w:tc>
          <w:tcPr>
            <w:tcW w:w="2356" w:type="dxa"/>
            <w:gridSpan w:val="2"/>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0"/>
              <w:jc w:val="both"/>
              <w:rPr>
                <w:color w:val="000000"/>
              </w:rPr>
            </w:pPr>
            <w:r>
              <w:rPr>
                <w:color w:val="000000"/>
              </w:rPr>
              <w:t>Name:</w:t>
            </w:r>
          </w:p>
        </w:tc>
        <w:tc>
          <w:tcPr>
            <w:tcW w:w="7178" w:type="dxa"/>
            <w:tcBorders/>
            <w:vAlign w:val="center"/>
          </w:tcPr>
          <w:p>
            <w:pPr>
              <w:pStyle w:val="TableContents"/>
              <w:bidi w:val="0"/>
              <w:spacing w:before="0" w:after="0"/>
              <w:jc w:val="both"/>
              <w:rPr>
                <w:color w:val="000000"/>
              </w:rPr>
            </w:pPr>
            <w:r>
              <w:rPr>
                <w:color w:val="000000"/>
              </w:rPr>
              <w:t>Katherine Allanson</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7178" w:type="dxa"/>
            <w:tcBorders/>
            <w:vAlign w:val="center"/>
          </w:tcPr>
          <w:p>
            <w:pPr>
              <w:pStyle w:val="TableContents"/>
              <w:bidi w:val="0"/>
              <w:spacing w:before="0" w:after="0"/>
              <w:jc w:val="left"/>
              <w:rPr>
                <w:color w:val="000000"/>
              </w:rPr>
            </w:pPr>
            <w:r>
              <w:rPr>
                <w:color w:val="000000"/>
              </w:rPr>
              <w:t>Chief Financial Officer (Principal Financial Officer and Principal Accounting Officer)</w:t>
            </w:r>
          </w:p>
        </w:tc>
      </w:tr>
      <w:tr>
        <w:trPr/>
        <w:tc>
          <w:tcPr>
            <w:tcW w:w="197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7849"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both"/>
              <w:rPr>
                <w:color w:val="000000"/>
              </w:rPr>
            </w:pPr>
            <w:r>
              <w:rPr>
                <w:color w:val="000000"/>
              </w:rPr>
              <w:t>Date: August 14, 2026</w:t>
            </w:r>
          </w:p>
        </w:tc>
        <w:tc>
          <w:tcPr>
            <w:tcW w:w="386" w:type="dxa"/>
            <w:tcBorders/>
            <w:vAlign w:val="center"/>
          </w:tcPr>
          <w:p>
            <w:pPr>
              <w:pStyle w:val="TableContents"/>
              <w:bidi w:val="0"/>
              <w:spacing w:before="0" w:after="283"/>
              <w:jc w:val="left"/>
              <w:rPr/>
            </w:pPr>
            <w:r>
              <w:rPr/>
              <w:t> </w:t>
            </w:r>
          </w:p>
        </w:tc>
        <w:tc>
          <w:tcPr>
            <w:tcW w:w="7849" w:type="dxa"/>
            <w:gridSpan w:val="2"/>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jc w:val="left"/>
        <w:rPr/>
      </w:pPr>
      <w:r>
        <w:rPr/>
      </w:r>
    </w:p>
    <w:p>
      <w:pPr>
        <w:pStyle w:val="HorizontalLine"/>
        <w:bidi w:val="0"/>
        <w:jc w:val="left"/>
        <w:rPr/>
      </w:pPr>
      <w:r>
        <w:rPr/>
      </w:r>
      <w:bookmarkStart w:id="130" w:name="ef20075471_ex31-1.htm"/>
      <w:bookmarkStart w:id="131" w:name="ksef20075471_ex311"/>
      <w:bookmarkStart w:id="132" w:name="ef20075471_ex31-1.htm"/>
      <w:bookmarkStart w:id="133" w:name="ksef20075471_ex311"/>
      <w:bookmarkEnd w:id="132"/>
      <w:bookmarkEnd w:id="133"/>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 RULES 13a-14(a) AND 15d-14(a),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Kendall Larsen, certify that: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 have reviewed this Quarterly Report on Form 10-Q of VirnetX Holding Corporation for the quarter ended June 30,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 (e) and 15d-15 (e)) and internal control over financial reporting (as defined in Exchange Act Rules 13a-15 (f) and 15d-15 (f)) for the registrant and have: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color w:val="000000"/>
        </w:rPr>
      </w:pPr>
      <w:r>
        <w:rPr>
          <w:color w:val="000000"/>
        </w:rPr>
      </w:r>
    </w:p>
    <w:p>
      <w:pPr>
        <w:pStyle w:val="HorizontalLine"/>
        <w:bidi w:val="0"/>
        <w:spacing w:before="200" w:after="200"/>
        <w:jc w:val="left"/>
        <w:rPr/>
      </w:pPr>
      <w:r>
        <w:rPr/>
      </w:r>
    </w:p>
    <w:tbl>
      <w:tblPr>
        <w:tblW w:w="5875" w:type="dxa"/>
        <w:jc w:val="left"/>
        <w:tblInd w:w="0" w:type="dxa"/>
        <w:tblLayout w:type="fixed"/>
        <w:tblCellMar>
          <w:top w:w="0" w:type="dxa"/>
          <w:left w:w="0" w:type="dxa"/>
          <w:bottom w:w="0" w:type="dxa"/>
          <w:right w:w="0" w:type="dxa"/>
        </w:tblCellMar>
      </w:tblPr>
      <w:tblGrid>
        <w:gridCol w:w="2210"/>
        <w:gridCol w:w="3665"/>
      </w:tblGrid>
      <w:tr>
        <w:trPr/>
        <w:tc>
          <w:tcPr>
            <w:tcW w:w="2210" w:type="dxa"/>
            <w:tcBorders/>
            <w:vAlign w:val="center"/>
          </w:tcPr>
          <w:p>
            <w:pPr>
              <w:pStyle w:val="TableContents"/>
              <w:bidi w:val="0"/>
              <w:spacing w:before="0" w:after="283"/>
              <w:jc w:val="left"/>
              <w:rPr/>
            </w:pPr>
            <w:r>
              <w:rPr/>
              <w:t> </w:t>
            </w:r>
          </w:p>
        </w:tc>
        <w:tc>
          <w:tcPr>
            <w:tcW w:w="3665"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Kendall Larsen</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color w:val="000000"/>
              </w:rPr>
            </w:pPr>
            <w:r>
              <w:rPr>
                <w:color w:val="000000"/>
              </w:rPr>
              <w:t>Kendall Larsen</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i/>
                <w:color w:val="000000"/>
              </w:rPr>
            </w:pPr>
            <w:r>
              <w:rPr>
                <w:i/>
                <w:color w:val="000000"/>
              </w:rPr>
              <w:t>President and Chief Executive Officer</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i/>
                <w:color w:val="000000"/>
              </w:rPr>
            </w:pPr>
            <w:r>
              <w:rPr>
                <w:i/>
                <w:color w:val="000000"/>
              </w:rPr>
              <w:t>(Principal Executive Officer)</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both"/>
              <w:rPr>
                <w:color w:val="000000"/>
              </w:rPr>
            </w:pPr>
            <w:r>
              <w:rPr>
                <w:color w:val="000000"/>
              </w:rPr>
              <w:t>Date: August 14, 2026</w:t>
            </w:r>
          </w:p>
        </w:tc>
        <w:tc>
          <w:tcPr>
            <w:tcW w:w="366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34" w:name="ef20075471_ex31-2.htm"/>
      <w:bookmarkStart w:id="135" w:name="ksef20075471_ex312"/>
      <w:bookmarkStart w:id="136" w:name="ef20075471_ex31-2.htm"/>
      <w:bookmarkStart w:id="137" w:name="ksef20075471_ex312"/>
      <w:bookmarkEnd w:id="136"/>
      <w:bookmarkEnd w:id="137"/>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 RULES 13a-14(a) AND 15d-14(a),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Katherine Allanson, certify that: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I have reviewed this Quarterly Report on Form 10-Q of VirnetX Holding Corporation for the quarter ended June 30,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 (e) and 15d-15 (e)) and internal control over financial reporting (as defined in Exchange Act Rules 13a-15 (f) and 15d-15 (f)) for the registrant and have: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color w:val="000000"/>
        </w:rPr>
      </w:pPr>
      <w:r>
        <w:rPr>
          <w:color w:val="000000"/>
        </w:rPr>
      </w:r>
    </w:p>
    <w:p>
      <w:pPr>
        <w:pStyle w:val="HorizontalLine"/>
        <w:bidi w:val="0"/>
        <w:spacing w:before="200" w:after="200"/>
        <w:jc w:val="left"/>
        <w:rPr/>
      </w:pPr>
      <w:r>
        <w:rPr/>
      </w:r>
    </w:p>
    <w:tbl>
      <w:tblPr>
        <w:tblW w:w="8245" w:type="dxa"/>
        <w:jc w:val="left"/>
        <w:tblInd w:w="0" w:type="dxa"/>
        <w:tblLayout w:type="fixed"/>
        <w:tblCellMar>
          <w:top w:w="0" w:type="dxa"/>
          <w:left w:w="0" w:type="dxa"/>
          <w:bottom w:w="0" w:type="dxa"/>
          <w:right w:w="0" w:type="dxa"/>
        </w:tblCellMar>
      </w:tblPr>
      <w:tblGrid>
        <w:gridCol w:w="2210"/>
        <w:gridCol w:w="6035"/>
      </w:tblGrid>
      <w:tr>
        <w:trPr/>
        <w:tc>
          <w:tcPr>
            <w:tcW w:w="2210" w:type="dxa"/>
            <w:tcBorders/>
            <w:vAlign w:val="center"/>
          </w:tcPr>
          <w:p>
            <w:pPr>
              <w:pStyle w:val="TableContents"/>
              <w:bidi w:val="0"/>
              <w:spacing w:before="0" w:after="283"/>
              <w:jc w:val="left"/>
              <w:rPr/>
            </w:pPr>
            <w:r>
              <w:rPr/>
              <w:t> </w:t>
            </w:r>
          </w:p>
        </w:tc>
        <w:tc>
          <w:tcPr>
            <w:tcW w:w="603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Katherine Allanson</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color w:val="000000"/>
              </w:rPr>
            </w:pPr>
            <w:r>
              <w:rPr>
                <w:color w:val="000000"/>
              </w:rPr>
              <w:t>Katherine Allanson</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i/>
                <w:color w:val="000000"/>
              </w:rPr>
            </w:pPr>
            <w:r>
              <w:rPr>
                <w:i/>
                <w:color w:val="000000"/>
              </w:rPr>
              <w:t>Chief Financial Officer</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i/>
                <w:color w:val="000000"/>
              </w:rPr>
            </w:pPr>
            <w:r>
              <w:rPr>
                <w:i/>
                <w:color w:val="000000"/>
              </w:rPr>
              <w:t>(Principal Financial Officer and Principal Accounting Officer)</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color w:val="000000"/>
              </w:rPr>
            </w:pPr>
            <w:r>
              <w:rPr>
                <w:color w:val="000000"/>
              </w:rPr>
              <w:t>Date: August 14, 2026</w:t>
            </w:r>
          </w:p>
        </w:tc>
        <w:tc>
          <w:tcPr>
            <w:tcW w:w="60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38" w:name="ef20075471_ex32-1.htm"/>
      <w:bookmarkStart w:id="139" w:name="ksef20075471_ex321"/>
      <w:bookmarkStart w:id="140" w:name="ef20075471_ex32-1.htm"/>
      <w:bookmarkStart w:id="141" w:name="ksef20075471_ex321"/>
      <w:bookmarkEnd w:id="140"/>
      <w:bookmarkEnd w:id="141"/>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VirnetX Holding Corporation (the “Company”) on Form 10-Q for the quarter ended June 30, 2026 as filed with the Securities and Exchange Commission on August 14, 2026 (the “Report”), I, Kendall Larsen, President and Chief Executive Officer of the Company, certify, pursuant to 18 U.S.C. Section 1350, as adopted pursuant to Section 906 of the Sarbanes-Oxley Act of 2002, that, to my knowledge: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2" w:name="new_id1"/>
      <w:bookmarkStart w:id="143" w:name="new_id1"/>
      <w:bookmarkEnd w:id="143"/>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color w:val="000000"/>
              </w:rPr>
            </w:pPr>
            <w:r>
              <w:rPr>
                <w:color w:val="000000"/>
              </w:rPr>
              <w:t>(1)</w:t>
            </w:r>
          </w:p>
        </w:tc>
        <w:tc>
          <w:tcPr>
            <w:tcW w:w="9888" w:type="dxa"/>
            <w:tcBorders/>
            <w:vAlign w:val="center"/>
          </w:tcPr>
          <w:p>
            <w:pPr>
              <w:pStyle w:val="TableContents"/>
              <w:bidi w:val="0"/>
              <w:spacing w:before="0" w:after="0"/>
              <w:jc w:val="both"/>
              <w:rPr>
                <w:color w:val="000000"/>
              </w:rPr>
            </w:pPr>
            <w:r>
              <w:rPr>
                <w:color w:val="000000"/>
              </w:rPr>
              <w:t>The Report fully complies with the requirements of Section 13(a) or 15(d) of the Securities Exchange Act of 1934, as amended; and</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144" w:name="new_id-01"/>
      <w:bookmarkStart w:id="145" w:name="new_id-01"/>
      <w:bookmarkEnd w:id="145"/>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color w:val="000000"/>
              </w:rPr>
            </w:pPr>
            <w:r>
              <w:rPr>
                <w:color w:val="000000"/>
              </w:rPr>
              <w:t>(2)</w:t>
            </w:r>
          </w:p>
        </w:tc>
        <w:tc>
          <w:tcPr>
            <w:tcW w:w="9893" w:type="dxa"/>
            <w:tcBorders/>
            <w:vAlign w:val="center"/>
          </w:tcPr>
          <w:p>
            <w:pPr>
              <w:pStyle w:val="TableContents"/>
              <w:bidi w:val="0"/>
              <w:spacing w:before="0" w:after="0"/>
              <w:jc w:val="both"/>
              <w:rPr>
                <w:color w:val="000000"/>
              </w:rPr>
            </w:pPr>
            <w:r>
              <w:rPr>
                <w:color w:val="000000"/>
              </w:rPr>
              <w:t>The information contained in the Report fairly presents, in all material respects, the financial condition and result of operations of the Company.</w:t>
            </w:r>
          </w:p>
        </w:tc>
      </w:tr>
    </w:tbl>
    <w:p>
      <w:pPr>
        <w:pStyle w:val="TextBody"/>
        <w:bidi w:val="0"/>
        <w:spacing w:before="0" w:after="0"/>
        <w:jc w:val="left"/>
        <w:rPr/>
      </w:pPr>
      <w:r>
        <w:rPr/>
      </w:r>
    </w:p>
    <w:tbl>
      <w:tblPr>
        <w:tblW w:w="5875" w:type="dxa"/>
        <w:jc w:val="left"/>
        <w:tblInd w:w="0" w:type="dxa"/>
        <w:tblLayout w:type="fixed"/>
        <w:tblCellMar>
          <w:top w:w="0" w:type="dxa"/>
          <w:left w:w="0" w:type="dxa"/>
          <w:bottom w:w="0" w:type="dxa"/>
          <w:right w:w="0" w:type="dxa"/>
        </w:tblCellMar>
      </w:tblPr>
      <w:tblGrid>
        <w:gridCol w:w="2210"/>
        <w:gridCol w:w="3665"/>
      </w:tblGrid>
      <w:tr>
        <w:trPr/>
        <w:tc>
          <w:tcPr>
            <w:tcW w:w="2210" w:type="dxa"/>
            <w:tcBorders/>
            <w:vAlign w:val="center"/>
          </w:tcPr>
          <w:p>
            <w:pPr>
              <w:pStyle w:val="TableContents"/>
              <w:bidi w:val="0"/>
              <w:spacing w:before="0" w:after="283"/>
              <w:jc w:val="left"/>
              <w:rPr/>
            </w:pPr>
            <w:r>
              <w:rPr/>
              <w:t> </w:t>
            </w:r>
          </w:p>
        </w:tc>
        <w:tc>
          <w:tcPr>
            <w:tcW w:w="3665"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Kendall Larsen</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color w:val="000000"/>
              </w:rPr>
            </w:pPr>
            <w:r>
              <w:rPr>
                <w:color w:val="000000"/>
              </w:rPr>
              <w:t>Kendall Larsen</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i/>
                <w:color w:val="000000"/>
              </w:rPr>
            </w:pPr>
            <w:r>
              <w:rPr>
                <w:i/>
                <w:color w:val="000000"/>
              </w:rPr>
              <w:t>President and Chief Executive Officer</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i/>
                <w:color w:val="000000"/>
              </w:rPr>
            </w:pPr>
            <w:r>
              <w:rPr>
                <w:i/>
                <w:color w:val="000000"/>
              </w:rPr>
              <w:t>(Principal Executive Officer)</w:t>
            </w:r>
          </w:p>
        </w:tc>
      </w:tr>
      <w:tr>
        <w:trPr/>
        <w:tc>
          <w:tcPr>
            <w:tcW w:w="221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both"/>
              <w:rPr>
                <w:color w:val="000000"/>
              </w:rPr>
            </w:pPr>
            <w:r>
              <w:rPr>
                <w:color w:val="000000"/>
              </w:rPr>
              <w:t>Date: August 14, 2026</w:t>
            </w:r>
          </w:p>
        </w:tc>
        <w:tc>
          <w:tcPr>
            <w:tcW w:w="366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46" w:name="ef20075471_ex32-2.htm"/>
      <w:bookmarkStart w:id="147" w:name="ksef20075471_ex322"/>
      <w:bookmarkStart w:id="148" w:name="ef20075471_ex32-2.htm"/>
      <w:bookmarkStart w:id="149" w:name="ksef20075471_ex322"/>
      <w:bookmarkEnd w:id="148"/>
      <w:bookmarkEnd w:id="149"/>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of VirnetX Holding Corporation (the “Company”) on Form 10-Q for the quarter ended June 30, 2026 as filed with the Securities and Exchange Commission on August 14, 2026 (the “Report”), I, Katherine Allanson, Chief Financial Officer of the Company, certify, pursuant to 18 U.S.C. Section 1350, as adopted pursuant to Section 906 of the Sarbanes-Oxley Act of 2002, that, to my knowledge:</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color w:val="000000"/>
              </w:rPr>
            </w:pPr>
            <w:r>
              <w:rPr>
                <w:color w:val="000000"/>
              </w:rPr>
              <w:t>(1)</w:t>
            </w:r>
          </w:p>
        </w:tc>
        <w:tc>
          <w:tcPr>
            <w:tcW w:w="9888" w:type="dxa"/>
            <w:tcBorders/>
            <w:vAlign w:val="center"/>
          </w:tcPr>
          <w:p>
            <w:pPr>
              <w:pStyle w:val="TableContents"/>
              <w:bidi w:val="0"/>
              <w:spacing w:before="0" w:after="0"/>
              <w:jc w:val="both"/>
              <w:rPr>
                <w:color w:val="000000"/>
              </w:rPr>
            </w:pPr>
            <w:r>
              <w:rPr>
                <w:color w:val="000000"/>
              </w:rPr>
              <w:t>The Report fully complies with the requirements of Section 13(a) or 15(d) of the Securities Exchange Act of 1934, as amended; and</w:t>
            </w:r>
          </w:p>
        </w:tc>
      </w:tr>
    </w:tbl>
    <w:p>
      <w:pPr>
        <w:pStyle w:val="TextBody"/>
        <w:bidi w:val="0"/>
        <w:spacing w:before="0" w:after="0"/>
        <w:jc w:val="left"/>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color w:val="000000"/>
              </w:rPr>
            </w:pPr>
            <w:r>
              <w:rPr>
                <w:color w:val="000000"/>
              </w:rPr>
              <w:t>(2)</w:t>
            </w:r>
          </w:p>
        </w:tc>
        <w:tc>
          <w:tcPr>
            <w:tcW w:w="9893" w:type="dxa"/>
            <w:tcBorders/>
            <w:vAlign w:val="center"/>
          </w:tcPr>
          <w:p>
            <w:pPr>
              <w:pStyle w:val="TableContents"/>
              <w:bidi w:val="0"/>
              <w:spacing w:before="0" w:after="0"/>
              <w:jc w:val="both"/>
              <w:rPr>
                <w:color w:val="000000"/>
              </w:rPr>
            </w:pPr>
            <w:r>
              <w:rPr>
                <w:color w:val="000000"/>
              </w:rPr>
              <w:t>The information contained in the Report fairly presents, in all material respects, the financial condition and result of operations of the Company.</w:t>
            </w:r>
          </w:p>
        </w:tc>
      </w:tr>
    </w:tbl>
    <w:p>
      <w:pPr>
        <w:pStyle w:val="TextBody"/>
        <w:bidi w:val="0"/>
        <w:spacing w:before="0" w:after="0"/>
        <w:jc w:val="left"/>
        <w:rPr/>
      </w:pPr>
      <w:r>
        <w:rPr/>
      </w:r>
    </w:p>
    <w:tbl>
      <w:tblPr>
        <w:tblW w:w="8245" w:type="dxa"/>
        <w:jc w:val="left"/>
        <w:tblInd w:w="0" w:type="dxa"/>
        <w:tblLayout w:type="fixed"/>
        <w:tblCellMar>
          <w:top w:w="0" w:type="dxa"/>
          <w:left w:w="0" w:type="dxa"/>
          <w:bottom w:w="0" w:type="dxa"/>
          <w:right w:w="0" w:type="dxa"/>
        </w:tblCellMar>
      </w:tblPr>
      <w:tblGrid>
        <w:gridCol w:w="2210"/>
        <w:gridCol w:w="6035"/>
      </w:tblGrid>
      <w:tr>
        <w:trPr/>
        <w:tc>
          <w:tcPr>
            <w:tcW w:w="2210" w:type="dxa"/>
            <w:tcBorders/>
            <w:vAlign w:val="center"/>
          </w:tcPr>
          <w:p>
            <w:pPr>
              <w:pStyle w:val="TableContents"/>
              <w:bidi w:val="0"/>
              <w:spacing w:before="0" w:after="283"/>
              <w:jc w:val="left"/>
              <w:rPr/>
            </w:pPr>
            <w:r>
              <w:rPr/>
              <w:t> </w:t>
            </w:r>
          </w:p>
        </w:tc>
        <w:tc>
          <w:tcPr>
            <w:tcW w:w="6035"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Katherine Allanson</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both"/>
              <w:rPr>
                <w:color w:val="000000"/>
              </w:rPr>
            </w:pPr>
            <w:r>
              <w:rPr>
                <w:color w:val="000000"/>
              </w:rPr>
              <w:t>Katherine Allanson</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both"/>
              <w:rPr>
                <w:i/>
                <w:color w:val="000000"/>
              </w:rPr>
            </w:pPr>
            <w:r>
              <w:rPr>
                <w:i/>
                <w:color w:val="000000"/>
              </w:rPr>
              <w:t>Chief Financial Officer</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both"/>
              <w:rPr>
                <w:i/>
                <w:color w:val="000000"/>
              </w:rPr>
            </w:pPr>
            <w:r>
              <w:rPr>
                <w:i/>
                <w:color w:val="000000"/>
              </w:rPr>
              <w:t>(Principal Financial Officer and Principal Accounting Officer)</w:t>
            </w:r>
          </w:p>
        </w:tc>
      </w:tr>
      <w:tr>
        <w:trPr/>
        <w:tc>
          <w:tcPr>
            <w:tcW w:w="221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both"/>
              <w:rPr>
                <w:color w:val="000000"/>
              </w:rPr>
            </w:pPr>
            <w:r>
              <w:rPr>
                <w:color w:val="000000"/>
              </w:rPr>
              <w:t>Date: August 14, 2026</w:t>
            </w:r>
          </w:p>
        </w:tc>
        <w:tc>
          <w:tcPr>
            <w:tcW w:w="60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82324/000114036126025419/ef20076289_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19388</Words>
  <Characters>107774</Characters>
  <CharactersWithSpaces>127196</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